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5BFDB0C1" w:rsidR="00A8352C" w:rsidRPr="00C77156" w:rsidRDefault="00D46238" w:rsidP="001E4F9A">
      <w:pPr>
        <w:pStyle w:val="Title"/>
      </w:pPr>
      <w:r w:rsidRPr="00D46238">
        <w:t xml:space="preserve">Ensembles of </w:t>
      </w:r>
      <w:r>
        <w:t xml:space="preserve">ion implanted </w:t>
      </w:r>
      <w:r w:rsidRPr="00D46238">
        <w:t>donor spins in i</w:t>
      </w:r>
      <w:r>
        <w:t xml:space="preserve">on beam </w:t>
      </w:r>
      <w:r w:rsidRPr="00D46238">
        <w:t>enriched silicon</w:t>
      </w:r>
    </w:p>
    <w:p w14:paraId="4393ABC7" w14:textId="61D86922" w:rsidR="00C77156" w:rsidRPr="00C77156" w:rsidRDefault="00D46238" w:rsidP="001E4F9A">
      <w:pPr>
        <w:pStyle w:val="Authorlist"/>
      </w:pPr>
      <w:r>
        <w:t>David Jamieson</w:t>
      </w:r>
      <w:r w:rsidR="00224950" w:rsidRPr="00224950">
        <w:rPr>
          <w:rFonts w:hint="eastAsia"/>
          <w:vertAlign w:val="superscript"/>
        </w:rPr>
        <w:t>1</w:t>
      </w:r>
      <w:r w:rsidR="00573209">
        <w:rPr>
          <w:rFonts w:hint="eastAsia"/>
          <w:vertAlign w:val="superscript"/>
        </w:rPr>
        <w:t>,</w:t>
      </w:r>
      <w:r w:rsidR="006E0761">
        <w:rPr>
          <w:vertAlign w:val="superscript"/>
        </w:rPr>
        <w:t>3</w:t>
      </w:r>
      <w:r w:rsidR="00C77156" w:rsidRPr="00C77156">
        <w:rPr>
          <w:rFonts w:hint="eastAsia"/>
        </w:rPr>
        <w:t xml:space="preserve">, </w:t>
      </w:r>
      <w:r>
        <w:t>Alexander Jakob</w:t>
      </w:r>
      <w:r w:rsidR="00224950" w:rsidRPr="00224950">
        <w:rPr>
          <w:rFonts w:hint="eastAsia"/>
          <w:vertAlign w:val="superscript"/>
        </w:rPr>
        <w:t>1</w:t>
      </w:r>
      <w:r w:rsidR="006E0761">
        <w:rPr>
          <w:vertAlign w:val="superscript"/>
        </w:rPr>
        <w:t>,3</w:t>
      </w:r>
      <w:r w:rsidR="00C77156" w:rsidRPr="00C77156">
        <w:rPr>
          <w:rFonts w:hint="eastAsia"/>
        </w:rPr>
        <w:t xml:space="preserve">, </w:t>
      </w:r>
      <w:r>
        <w:t>Shao Qi Lim</w:t>
      </w:r>
      <w:r w:rsidR="006E0761">
        <w:rPr>
          <w:vertAlign w:val="superscript"/>
        </w:rPr>
        <w:t>1,3</w:t>
      </w:r>
      <w:r w:rsidR="00C77156" w:rsidRPr="00C77156">
        <w:rPr>
          <w:rFonts w:hint="eastAsia"/>
        </w:rPr>
        <w:t xml:space="preserve">, </w:t>
      </w:r>
      <w:r>
        <w:t>Ravi Acharya</w:t>
      </w:r>
      <w:r w:rsidR="006E0761" w:rsidRPr="00224950">
        <w:rPr>
          <w:rFonts w:hint="eastAsia"/>
          <w:vertAlign w:val="superscript"/>
        </w:rPr>
        <w:t>1</w:t>
      </w:r>
      <w:r w:rsidR="006E0761">
        <w:rPr>
          <w:vertAlign w:val="superscript"/>
        </w:rPr>
        <w:t>,</w:t>
      </w:r>
      <w:r w:rsidR="006E0761">
        <w:rPr>
          <w:vertAlign w:val="superscript"/>
        </w:rPr>
        <w:t>4</w:t>
      </w:r>
      <w:r>
        <w:t xml:space="preserve">, </w:t>
      </w:r>
      <w:r w:rsidR="006E0761">
        <w:t>Daneille Holmes</w:t>
      </w:r>
      <w:r w:rsidR="006E0761">
        <w:rPr>
          <w:vertAlign w:val="superscript"/>
        </w:rPr>
        <w:t>2,3</w:t>
      </w:r>
      <w:r w:rsidR="006E0761">
        <w:t xml:space="preserve">, </w:t>
      </w:r>
      <w:proofErr w:type="gramStart"/>
      <w:r w:rsidR="006E0761">
        <w:t>Andrea  Morello</w:t>
      </w:r>
      <w:proofErr w:type="gramEnd"/>
      <w:r w:rsidR="006E0761" w:rsidRPr="006E0761">
        <w:t xml:space="preserve"> </w:t>
      </w:r>
      <w:r w:rsidR="006E0761">
        <w:t>Holmes</w:t>
      </w:r>
      <w:r w:rsidR="006E0761">
        <w:rPr>
          <w:vertAlign w:val="superscript"/>
        </w:rPr>
        <w:t>2,</w:t>
      </w:r>
      <w:r w:rsidR="006E0761">
        <w:rPr>
          <w:vertAlign w:val="superscript"/>
        </w:rPr>
        <w:t>3</w:t>
      </w:r>
      <w:r w:rsidR="006E0761">
        <w:t>, Dane McCamey</w:t>
      </w:r>
      <w:r w:rsidR="006E0761">
        <w:rPr>
          <w:vertAlign w:val="superscript"/>
        </w:rPr>
        <w:t>3</w:t>
      </w:r>
      <w:r w:rsidR="006E0761">
        <w:t>, Richrd Curry</w:t>
      </w:r>
      <w:r w:rsidR="006E0761">
        <w:rPr>
          <w:vertAlign w:val="superscript"/>
        </w:rPr>
        <w:t>4</w:t>
      </w:r>
    </w:p>
    <w:p w14:paraId="1DD8B8BA" w14:textId="7FEA0D9F" w:rsidR="00C77156" w:rsidRPr="00C77156" w:rsidRDefault="00224950" w:rsidP="001E4F9A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6E0761">
        <w:t>University of Melbourne</w:t>
      </w:r>
    </w:p>
    <w:p w14:paraId="1B4FD7DB" w14:textId="08530FDC" w:rsidR="006E0761" w:rsidRDefault="006E0761" w:rsidP="001E4F9A">
      <w:pPr>
        <w:pStyle w:val="Affiliation"/>
      </w:pPr>
      <w:r>
        <w:rPr>
          <w:rFonts w:hint="eastAsia"/>
          <w:iCs/>
          <w:vertAlign w:val="superscript"/>
        </w:rPr>
        <w:t>3</w:t>
      </w:r>
      <w:r>
        <w:t>University of New South Wales</w:t>
      </w:r>
    </w:p>
    <w:p w14:paraId="081FFB1B" w14:textId="7E6994C4" w:rsidR="00C77156" w:rsidRDefault="006E0761" w:rsidP="001E4F9A">
      <w:pPr>
        <w:pStyle w:val="Affiliation"/>
      </w:pPr>
      <w:r>
        <w:rPr>
          <w:iCs/>
          <w:vertAlign w:val="superscript"/>
        </w:rPr>
        <w:t>3</w:t>
      </w:r>
      <w:r>
        <w:t>Centre for Quantum Computation and Communication Technology</w:t>
      </w:r>
    </w:p>
    <w:p w14:paraId="127600E6" w14:textId="4784628D" w:rsidR="006E0761" w:rsidRDefault="006E0761" w:rsidP="001E4F9A">
      <w:pPr>
        <w:pStyle w:val="Affiliation"/>
      </w:pPr>
      <w:r>
        <w:rPr>
          <w:vertAlign w:val="superscript"/>
        </w:rPr>
        <w:t>4</w:t>
      </w:r>
      <w:r>
        <w:t>University of Manchester</w:t>
      </w:r>
    </w:p>
    <w:p w14:paraId="49373D7E" w14:textId="77777777" w:rsidR="00480AB4" w:rsidRDefault="00480AB4" w:rsidP="001E4F9A"/>
    <w:p w14:paraId="10A36F50" w14:textId="0BEA56F5" w:rsidR="001B5444" w:rsidRDefault="001B5444" w:rsidP="00D72222">
      <w:pPr>
        <w:jc w:val="both"/>
      </w:pPr>
      <w:r>
        <w:t xml:space="preserve">We have developed a simple method to enrich silicon in which the </w:t>
      </w:r>
      <w:r w:rsidRPr="001B5444">
        <w:rPr>
          <w:vertAlign w:val="superscript"/>
        </w:rPr>
        <w:t>29</w:t>
      </w:r>
      <w:r>
        <w:t>Si non-zero nuclear spin isotope (</w:t>
      </w:r>
      <m:oMath>
        <m:r>
          <w:rPr>
            <w:rFonts w:ascii="Cambria Math" w:hAnsi="Cambria Math"/>
          </w:rPr>
          <m:t>I=1/2</m:t>
        </m:r>
      </m:oMath>
      <w:r>
        <w:t xml:space="preserve">, natural abundance 4.67%) is depleted in favour of the zero nuclear spin </w:t>
      </w:r>
      <w:r w:rsidRPr="001B5444">
        <w:rPr>
          <w:vertAlign w:val="superscript"/>
        </w:rPr>
        <w:t>28</w:t>
      </w:r>
      <w:r>
        <w:t>Si isotope (</w:t>
      </w:r>
      <m:oMath>
        <m:r>
          <w:rPr>
            <w:rFonts w:ascii="Cambria Math" w:hAnsi="Cambria Math"/>
          </w:rPr>
          <m:t>I=0</m:t>
        </m:r>
      </m:oMath>
      <w:r>
        <w:t xml:space="preserve">, 92.2%). </w:t>
      </w:r>
      <w:r w:rsidR="00D72222">
        <w:t>We</w:t>
      </w:r>
      <w:r>
        <w:t xml:space="preserve"> employ high fluence </w:t>
      </w:r>
      <w:r w:rsidRPr="001B5444">
        <w:rPr>
          <w:vertAlign w:val="superscript"/>
        </w:rPr>
        <w:t>28</w:t>
      </w:r>
      <w:r>
        <w:t>Si ion implantation, from either a standard ion implantation system found in university laboratories and semiconductor foundries or a highly focused ion beam system.  We seek to configure robust, long-lived coherent donor atom spin states in the highly enriched material</w:t>
      </w:r>
      <w:r w:rsidR="00D72222">
        <w:t xml:space="preserve"> by</w:t>
      </w:r>
      <w:r>
        <w:t xml:space="preserve"> depletion of the </w:t>
      </w:r>
      <w:r w:rsidRPr="001B5444">
        <w:rPr>
          <w:vertAlign w:val="superscript"/>
        </w:rPr>
        <w:t>29</w:t>
      </w:r>
      <w:r>
        <w:t xml:space="preserve">Si nuclear magnetic moments.  Guided by ion-solid computer simulations that predict one-for-one sputtering with 45 keV </w:t>
      </w:r>
      <w:r w:rsidRPr="001B5444">
        <w:rPr>
          <w:vertAlign w:val="superscript"/>
        </w:rPr>
        <w:t>28</w:t>
      </w:r>
      <w:r>
        <w:t xml:space="preserve">Si ion beams, </w:t>
      </w:r>
      <w:r w:rsidR="00715808">
        <w:t>f</w:t>
      </w:r>
      <w:r w:rsidR="00715808">
        <w:t xml:space="preserve">or broad beam fluences above 1E18 </w:t>
      </w:r>
      <w:r w:rsidR="00715808" w:rsidRPr="001B5444">
        <w:rPr>
          <w:vertAlign w:val="superscript"/>
        </w:rPr>
        <w:t>28</w:t>
      </w:r>
      <w:r w:rsidR="00715808">
        <w:t>Si/cm</w:t>
      </w:r>
      <w:r w:rsidR="00715808" w:rsidRPr="001B5444">
        <w:rPr>
          <w:vertAlign w:val="superscript"/>
        </w:rPr>
        <w:t>2</w:t>
      </w:r>
      <w:r w:rsidR="00715808">
        <w:t xml:space="preserve"> </w:t>
      </w:r>
      <w:r w:rsidRPr="00ED08F5">
        <w:rPr>
          <w:vertAlign w:val="superscript"/>
        </w:rPr>
        <w:t>29</w:t>
      </w:r>
      <w:r>
        <w:t>Si depletion</w:t>
      </w:r>
      <w:r w:rsidR="005D108B">
        <w:t xml:space="preserve"> is</w:t>
      </w:r>
      <w:r>
        <w:t xml:space="preserve"> below 150 ppm </w:t>
      </w:r>
      <w:r w:rsidR="00715808">
        <w:t xml:space="preserve">and </w:t>
      </w:r>
      <w:r>
        <w:t>an unprecedented 2.3 ppm for</w:t>
      </w:r>
      <w:r w:rsidR="00715808">
        <w:t xml:space="preserve"> fluences above</w:t>
      </w:r>
      <w:r w:rsidR="00715808">
        <w:t xml:space="preserve">1E19 </w:t>
      </w:r>
      <w:r w:rsidR="00715808" w:rsidRPr="001B5444">
        <w:rPr>
          <w:vertAlign w:val="superscript"/>
        </w:rPr>
        <w:t>28</w:t>
      </w:r>
      <w:r w:rsidR="00715808">
        <w:t>Si/cm</w:t>
      </w:r>
      <w:r w:rsidR="00715808" w:rsidRPr="001B5444">
        <w:rPr>
          <w:vertAlign w:val="superscript"/>
        </w:rPr>
        <w:t>2</w:t>
      </w:r>
      <w:r>
        <w:t xml:space="preserve"> </w:t>
      </w:r>
      <w:r w:rsidR="00715808">
        <w:t xml:space="preserve">in </w:t>
      </w:r>
      <w:r>
        <w:t>the focused beam samples</w:t>
      </w:r>
      <w:r w:rsidR="00ED08F5">
        <w:t xml:space="preserve"> [1]</w:t>
      </w:r>
      <w:r>
        <w:t>, both of which are free from isobar contamination (CO, N</w:t>
      </w:r>
      <w:r w:rsidRPr="00ED08F5">
        <w:rPr>
          <w:vertAlign w:val="subscript"/>
        </w:rPr>
        <w:t>2</w:t>
      </w:r>
      <w:r>
        <w:t xml:space="preserve">) to the limit of detection.  Post-irradiation annealing restores the crystallinity of the samples resulting in a ~200 nm layer of high purity </w:t>
      </w:r>
      <w:r w:rsidRPr="00ED08F5">
        <w:rPr>
          <w:vertAlign w:val="superscript"/>
        </w:rPr>
        <w:t>28</w:t>
      </w:r>
      <w:r>
        <w:t xml:space="preserve">Si on both bulk and 220 nm silicon-on-insulator substrates.  We employ high sensitivity Electrically Detected Magnetic Resonance </w:t>
      </w:r>
      <w:r w:rsidR="00715808">
        <w:t>to show narrowing</w:t>
      </w:r>
      <w:r>
        <w:t xml:space="preserve"> </w:t>
      </w:r>
      <w:r w:rsidR="00715808">
        <w:t xml:space="preserve">implanted </w:t>
      </w:r>
      <w:r w:rsidR="00715808" w:rsidRPr="00715808">
        <w:rPr>
          <w:vertAlign w:val="superscript"/>
        </w:rPr>
        <w:t>31</w:t>
      </w:r>
      <w:r w:rsidR="00715808">
        <w:t xml:space="preserve">P </w:t>
      </w:r>
      <w:r w:rsidR="00715808">
        <w:t>ensemble</w:t>
      </w:r>
      <w:r w:rsidR="00715808">
        <w:t xml:space="preserve"> hyperfine linewidths as </w:t>
      </w:r>
      <w:r w:rsidR="00715808" w:rsidRPr="00715808">
        <w:rPr>
          <w:vertAlign w:val="superscript"/>
        </w:rPr>
        <w:t>29</w:t>
      </w:r>
      <w:r w:rsidR="00715808">
        <w:t>Si is depleted in our lo</w:t>
      </w:r>
      <w:r>
        <w:t xml:space="preserve">calised enriched volumes. </w:t>
      </w:r>
      <w:r w:rsidR="00D72222">
        <w:t xml:space="preserve">Independently, we have demonstrated deterministic </w:t>
      </w:r>
      <w:r w:rsidR="00D72222" w:rsidRPr="00D72222">
        <w:rPr>
          <w:vertAlign w:val="superscript"/>
        </w:rPr>
        <w:t>31</w:t>
      </w:r>
      <w:r w:rsidR="00D72222" w:rsidRPr="00D72222">
        <w:t>PF</w:t>
      </w:r>
      <w:r w:rsidR="00D72222" w:rsidRPr="00D72222">
        <w:rPr>
          <w:vertAlign w:val="subscript"/>
        </w:rPr>
        <w:t>2</w:t>
      </w:r>
      <w:r w:rsidR="00D72222" w:rsidRPr="00D72222">
        <w:t xml:space="preserve"> </w:t>
      </w:r>
      <w:r w:rsidR="00D72222">
        <w:t xml:space="preserve">single </w:t>
      </w:r>
      <w:r w:rsidR="00D72222" w:rsidRPr="00D72222">
        <w:t>molecule</w:t>
      </w:r>
      <w:r w:rsidR="00D72222">
        <w:t xml:space="preserve"> </w:t>
      </w:r>
      <w:r w:rsidR="007C4C9D">
        <w:t>i</w:t>
      </w:r>
      <w:r w:rsidR="00D72222" w:rsidRPr="00D72222">
        <w:t xml:space="preserve">mplants </w:t>
      </w:r>
      <w:r w:rsidR="00D72222">
        <w:t>with</w:t>
      </w:r>
      <w:r w:rsidR="00D72222" w:rsidRPr="00D72222">
        <w:t xml:space="preserve"> 99.99%</w:t>
      </w:r>
      <w:r w:rsidR="00D72222">
        <w:t xml:space="preserve"> </w:t>
      </w:r>
      <w:r w:rsidR="00D72222" w:rsidRPr="00D72222">
        <w:t>conﬁdence</w:t>
      </w:r>
      <w:r w:rsidR="007C4C9D">
        <w:t xml:space="preserve"> for near surface qubits [2]</w:t>
      </w:r>
      <w:r w:rsidR="00D72222" w:rsidRPr="00D72222">
        <w:t xml:space="preserve">. </w:t>
      </w:r>
      <w:r w:rsidR="00D72222">
        <w:t xml:space="preserve"> </w:t>
      </w:r>
      <w:r w:rsidR="00D72222" w:rsidRPr="00D72222">
        <w:t xml:space="preserve">Similar conﬁdence is retained </w:t>
      </w:r>
      <w:r w:rsidR="00D72222">
        <w:t>for single</w:t>
      </w:r>
      <w:r w:rsidR="00D72222" w:rsidRPr="00D72222">
        <w:t xml:space="preserve"> </w:t>
      </w:r>
      <w:r w:rsidR="00D72222" w:rsidRPr="00D72222">
        <w:rPr>
          <w:vertAlign w:val="superscript"/>
        </w:rPr>
        <w:t>123</w:t>
      </w:r>
      <w:r w:rsidR="00D72222" w:rsidRPr="00D72222">
        <w:t xml:space="preserve">Sb and </w:t>
      </w:r>
      <w:r w:rsidR="00D72222" w:rsidRPr="00D72222">
        <w:rPr>
          <w:vertAlign w:val="superscript"/>
        </w:rPr>
        <w:t>209</w:t>
      </w:r>
      <w:r w:rsidR="00D72222" w:rsidRPr="00D72222">
        <w:t>Bi</w:t>
      </w:r>
      <w:r w:rsidR="00D72222">
        <w:t xml:space="preserve"> donors</w:t>
      </w:r>
      <w:r w:rsidR="00D72222" w:rsidRPr="00D72222">
        <w:t xml:space="preserve"> </w:t>
      </w:r>
      <w:r w:rsidR="007C4C9D">
        <w:t xml:space="preserve">[3] </w:t>
      </w:r>
      <w:r w:rsidR="00D72222" w:rsidRPr="00D72222">
        <w:t>which represent</w:t>
      </w:r>
      <w:r w:rsidR="00D72222">
        <w:t xml:space="preserve"> </w:t>
      </w:r>
      <w:r w:rsidR="00D72222" w:rsidRPr="00D72222">
        <w:t xml:space="preserve">high-dimensional </w:t>
      </w:r>
      <w:proofErr w:type="spellStart"/>
      <w:r w:rsidR="00D72222" w:rsidRPr="00D72222">
        <w:t>qudits</w:t>
      </w:r>
      <w:proofErr w:type="spellEnd"/>
      <w:r w:rsidR="00D72222" w:rsidRPr="00D72222">
        <w:t xml:space="preserve"> for quantum information processing</w:t>
      </w:r>
      <w:r w:rsidR="00D72222">
        <w:t>. We demonstrate the construction of r</w:t>
      </w:r>
      <w:r w:rsidR="00D72222" w:rsidRPr="00D72222">
        <w:t xml:space="preserve">egular arrays of donor atoms with 300 nm </w:t>
      </w:r>
      <w:r w:rsidR="00D72222" w:rsidRPr="00D72222">
        <w:t xml:space="preserve">spacing </w:t>
      </w:r>
      <w:r w:rsidR="00D72222" w:rsidRPr="00D72222">
        <w:t>using step-and-repeat implantation through a</w:t>
      </w:r>
      <w:r w:rsidR="00D72222">
        <w:t>n</w:t>
      </w:r>
      <w:r w:rsidR="00D72222" w:rsidRPr="00D72222">
        <w:t xml:space="preserve"> </w:t>
      </w:r>
      <w:r w:rsidR="00D72222">
        <w:t xml:space="preserve">AFM </w:t>
      </w:r>
      <w:proofErr w:type="spellStart"/>
      <w:r w:rsidR="00D72222" w:rsidRPr="00D72222">
        <w:t>nano</w:t>
      </w:r>
      <w:r w:rsidR="00D72222">
        <w:t>stencil</w:t>
      </w:r>
      <w:proofErr w:type="spellEnd"/>
      <w:r w:rsidR="00D72222" w:rsidRPr="00D72222">
        <w:t xml:space="preserve">. </w:t>
      </w:r>
      <w:r w:rsidR="00D72222">
        <w:t>Integration of these techniques provide the</w:t>
      </w:r>
      <w:r w:rsidR="00D72222" w:rsidRPr="00D72222">
        <w:t xml:space="preserve"> requirements</w:t>
      </w:r>
      <w:r w:rsidR="00D72222">
        <w:t xml:space="preserve"> </w:t>
      </w:r>
      <w:r w:rsidR="00D72222" w:rsidRPr="00D72222">
        <w:t xml:space="preserve">for the construction of </w:t>
      </w:r>
      <w:r w:rsidR="00715808">
        <w:t xml:space="preserve">large-scale, </w:t>
      </w:r>
      <w:r w:rsidR="00D72222" w:rsidRPr="00D72222">
        <w:t>donor-based quantum computer in s</w:t>
      </w:r>
      <w:r w:rsidR="00D72222">
        <w:t>ilicon.</w:t>
      </w:r>
    </w:p>
    <w:p w14:paraId="46AB1C77" w14:textId="3D30028E" w:rsidR="001B5444" w:rsidRDefault="001B5444" w:rsidP="00D72222">
      <w:pPr>
        <w:jc w:val="both"/>
      </w:pPr>
      <w:r>
        <w:t>Acknowledgements: ARC grant DP220103467, Royal Society (UK) Wolfson Visiting Fellowship RSWVF/211016, EPSRC grants EP/R025576/1, EP/V001914/1, EP/R00661X/1</w:t>
      </w:r>
      <w:r w:rsidR="00E44ED3">
        <w:t>,</w:t>
      </w:r>
      <w:r>
        <w:t xml:space="preserve">  co-workers at the University of Manchester (FIB, SIMS, TEM): M Coke, M Adshead, K Li, B Achinuq, R Cai, AB Gholizadeh, J Jacobs, JL Boland, SJ Haigh, KL Moore and the University of Melbourne (ion implantation, EDMR, TEM):</w:t>
      </w:r>
      <w:r w:rsidR="00ED08F5">
        <w:t xml:space="preserve"> </w:t>
      </w:r>
      <w:r>
        <w:t>JC McCallum, S Rubanov.</w:t>
      </w:r>
    </w:p>
    <w:p w14:paraId="46982742" w14:textId="13AF077D" w:rsidR="00715808" w:rsidRDefault="005D108B" w:rsidP="005D108B">
      <w:pPr>
        <w:jc w:val="center"/>
      </w:pPr>
      <w:r>
        <w:rPr>
          <w:noProof/>
        </w:rPr>
        <w:drawing>
          <wp:inline distT="0" distB="0" distL="0" distR="0" wp14:anchorId="3CBF0859" wp14:editId="22D886D7">
            <wp:extent cx="3807910" cy="1144565"/>
            <wp:effectExtent l="0" t="0" r="2540" b="0"/>
            <wp:docPr id="843917683" name="Picture 1" descr="A graph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17683" name="Picture 1" descr="A graph of a graph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478" cy="115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25F72" w14:textId="7583EB0B" w:rsidR="00A50716" w:rsidRPr="00751E64" w:rsidRDefault="007B47C9" w:rsidP="00751E64">
      <w:pPr>
        <w:pStyle w:val="Caption"/>
      </w:pPr>
      <w:r w:rsidRPr="00751E64">
        <w:t xml:space="preserve">Figure </w:t>
      </w:r>
      <w:r w:rsidR="0069213C">
        <w:fldChar w:fldCharType="begin"/>
      </w:r>
      <w:r w:rsidR="0069213C">
        <w:instrText xml:space="preserve"> SEQ Figure \* ARABIC </w:instrText>
      </w:r>
      <w:r w:rsidR="0069213C">
        <w:fldChar w:fldCharType="separate"/>
      </w:r>
      <w:r w:rsidR="00ED08F5">
        <w:rPr>
          <w:noProof/>
        </w:rPr>
        <w:t>1</w:t>
      </w:r>
      <w:r w:rsidR="0069213C">
        <w:fldChar w:fldCharType="end"/>
      </w:r>
      <w:r w:rsidRPr="00751E64">
        <w:rPr>
          <w:rFonts w:hint="eastAsia"/>
        </w:rPr>
        <w:t xml:space="preserve"> </w:t>
      </w:r>
      <w:r w:rsidR="00E44ED3">
        <w:t>(L-R)</w:t>
      </w:r>
      <w:r w:rsidR="00F72151" w:rsidRPr="00F72151">
        <w:t>)</w:t>
      </w:r>
      <w:r w:rsidR="00E44ED3">
        <w:t xml:space="preserve"> EDMR of P implanted 700 ppm </w:t>
      </w:r>
      <w:r w:rsidR="00E44ED3" w:rsidRPr="00E44ED3">
        <w:rPr>
          <w:vertAlign w:val="superscript"/>
        </w:rPr>
        <w:t>29</w:t>
      </w:r>
      <w:r w:rsidR="00E44ED3">
        <w:t>Si, PF</w:t>
      </w:r>
      <w:r w:rsidR="00E44ED3" w:rsidRPr="00E44ED3">
        <w:rPr>
          <w:vertAlign w:val="subscript"/>
        </w:rPr>
        <w:t>2</w:t>
      </w:r>
      <w:r w:rsidR="00E44ED3">
        <w:t xml:space="preserve"> and Sb single implants, 300 nm pitch.</w:t>
      </w:r>
    </w:p>
    <w:p w14:paraId="37E1E76D" w14:textId="5D454091" w:rsidR="00224950" w:rsidRDefault="00A322E1" w:rsidP="007553E8">
      <w:pPr>
        <w:pStyle w:val="Reference"/>
      </w:pPr>
      <w:r w:rsidRPr="007553E8">
        <w:rPr>
          <w:rFonts w:hint="eastAsia"/>
        </w:rPr>
        <w:t xml:space="preserve">[1] </w:t>
      </w:r>
      <w:r w:rsidR="00D72222">
        <w:t xml:space="preserve">R Acharya, et al, </w:t>
      </w:r>
      <w:r w:rsidR="007C4C9D" w:rsidRPr="007C4C9D">
        <w:t>Comm</w:t>
      </w:r>
      <w:r w:rsidR="007C4C9D">
        <w:t>.</w:t>
      </w:r>
      <w:r w:rsidR="007C4C9D" w:rsidRPr="007C4C9D">
        <w:t xml:space="preserve"> Mat</w:t>
      </w:r>
      <w:r w:rsidR="007C4C9D">
        <w:t>.</w:t>
      </w:r>
      <w:r w:rsidR="007C4C9D" w:rsidRPr="007C4C9D">
        <w:t>5:57 (2024)</w:t>
      </w:r>
    </w:p>
    <w:p w14:paraId="62F50EA2" w14:textId="058B9922" w:rsidR="007C4C9D" w:rsidRPr="007553E8" w:rsidRDefault="007C4C9D" w:rsidP="007553E8">
      <w:pPr>
        <w:pStyle w:val="Reference"/>
      </w:pPr>
      <w:r>
        <w:t xml:space="preserve">[2] D Holmes, et al., </w:t>
      </w:r>
      <w:r w:rsidRPr="007C4C9D">
        <w:t>Adv</w:t>
      </w:r>
      <w:r>
        <w:t xml:space="preserve">. </w:t>
      </w:r>
      <w:r w:rsidRPr="007C4C9D">
        <w:t>Quant</w:t>
      </w:r>
      <w:r>
        <w:t xml:space="preserve">. </w:t>
      </w:r>
      <w:r w:rsidRPr="007C4C9D">
        <w:t>Tech</w:t>
      </w:r>
      <w:r>
        <w:t xml:space="preserve">. </w:t>
      </w:r>
      <w:r w:rsidRPr="007C4C9D">
        <w:t>7 202300316 (2024)</w:t>
      </w:r>
    </w:p>
    <w:p w14:paraId="77E00EC8" w14:textId="7BE54BDC" w:rsidR="00CE11C9" w:rsidRPr="00D72222" w:rsidRDefault="00CE11C9" w:rsidP="007553E8">
      <w:pPr>
        <w:pStyle w:val="Reference"/>
      </w:pPr>
      <w:r w:rsidRPr="007553E8">
        <w:rPr>
          <w:rFonts w:hint="eastAsia"/>
        </w:rPr>
        <w:t>[</w:t>
      </w:r>
      <w:r w:rsidR="007C4C9D">
        <w:t>3</w:t>
      </w:r>
      <w:r w:rsidRPr="007553E8">
        <w:rPr>
          <w:rFonts w:hint="eastAsia"/>
        </w:rPr>
        <w:t xml:space="preserve">] </w:t>
      </w:r>
      <w:r w:rsidR="00D72222" w:rsidRPr="00D72222">
        <w:t xml:space="preserve">AM Jakob, </w:t>
      </w:r>
      <w:r w:rsidR="00D72222">
        <w:t xml:space="preserve">et al., Adv. Mat. </w:t>
      </w:r>
      <w:r w:rsidR="00D72222" w:rsidRPr="00D72222">
        <w:t>202405006</w:t>
      </w:r>
      <w:r w:rsidR="007C4C9D">
        <w:t xml:space="preserve"> (</w:t>
      </w:r>
      <w:r w:rsidR="00D72222">
        <w:t>2024</w:t>
      </w:r>
      <w:r w:rsidR="007C4C9D">
        <w:t>)</w:t>
      </w:r>
    </w:p>
    <w:sectPr w:rsidR="00CE11C9" w:rsidRPr="00D72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4604CD" w14:textId="77777777" w:rsidR="00CE15CF" w:rsidRDefault="00CE15CF" w:rsidP="00CE15CF">
      <w:pPr>
        <w:spacing w:after="0" w:line="240" w:lineRule="auto"/>
      </w:pPr>
      <w:r>
        <w:separator/>
      </w:r>
    </w:p>
  </w:endnote>
  <w:endnote w:type="continuationSeparator" w:id="0">
    <w:p w14:paraId="71BC0156" w14:textId="77777777" w:rsidR="00CE15CF" w:rsidRDefault="00CE15CF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0F7FB" w14:textId="77777777" w:rsidR="00CE15CF" w:rsidRDefault="00CE15CF" w:rsidP="00CE15CF">
      <w:pPr>
        <w:spacing w:after="0" w:line="240" w:lineRule="auto"/>
      </w:pPr>
      <w:r>
        <w:separator/>
      </w:r>
    </w:p>
  </w:footnote>
  <w:footnote w:type="continuationSeparator" w:id="0">
    <w:p w14:paraId="1376E7D4" w14:textId="77777777" w:rsidR="00CE15CF" w:rsidRDefault="00CE15CF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41047"/>
    <w:rsid w:val="00062E4E"/>
    <w:rsid w:val="00192CFE"/>
    <w:rsid w:val="00196367"/>
    <w:rsid w:val="001B5444"/>
    <w:rsid w:val="001E4F9A"/>
    <w:rsid w:val="00224950"/>
    <w:rsid w:val="00310969"/>
    <w:rsid w:val="00354FC6"/>
    <w:rsid w:val="003B5A75"/>
    <w:rsid w:val="00480AB4"/>
    <w:rsid w:val="004C18D2"/>
    <w:rsid w:val="00514895"/>
    <w:rsid w:val="00573209"/>
    <w:rsid w:val="005D108B"/>
    <w:rsid w:val="0069213C"/>
    <w:rsid w:val="00694951"/>
    <w:rsid w:val="006E0761"/>
    <w:rsid w:val="00715808"/>
    <w:rsid w:val="00751E64"/>
    <w:rsid w:val="007553E8"/>
    <w:rsid w:val="007B47C9"/>
    <w:rsid w:val="007C4C9D"/>
    <w:rsid w:val="00847223"/>
    <w:rsid w:val="00A00D9F"/>
    <w:rsid w:val="00A322E1"/>
    <w:rsid w:val="00A50716"/>
    <w:rsid w:val="00A8352C"/>
    <w:rsid w:val="00AE30CA"/>
    <w:rsid w:val="00AE43D2"/>
    <w:rsid w:val="00B24FDF"/>
    <w:rsid w:val="00BA4C5D"/>
    <w:rsid w:val="00C06AC6"/>
    <w:rsid w:val="00C77156"/>
    <w:rsid w:val="00CE11C9"/>
    <w:rsid w:val="00CE15CF"/>
    <w:rsid w:val="00D46238"/>
    <w:rsid w:val="00D72222"/>
    <w:rsid w:val="00E44ED3"/>
    <w:rsid w:val="00EA0133"/>
    <w:rsid w:val="00ED08F5"/>
    <w:rsid w:val="00EE472A"/>
    <w:rsid w:val="00F30FBB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David Jamieson</cp:lastModifiedBy>
  <cp:revision>2</cp:revision>
  <dcterms:created xsi:type="dcterms:W3CDTF">2024-09-13T10:55:00Z</dcterms:created>
  <dcterms:modified xsi:type="dcterms:W3CDTF">2024-09-13T10:55:00Z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