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8952D" w14:textId="4ADF0EFE" w:rsidR="006D5F29" w:rsidRPr="00531BB4" w:rsidRDefault="00C131C9" w:rsidP="00531BB4">
      <w:pPr>
        <w:jc w:val="center"/>
        <w:rPr>
          <w:b/>
          <w:bCs/>
        </w:rPr>
      </w:pPr>
      <w:r w:rsidRPr="00C131C9">
        <w:rPr>
          <w:b/>
          <w:bCs/>
        </w:rPr>
        <w:t>In situ amplification of spin echoes within a kinetic inductance parametric amplifier</w:t>
      </w:r>
    </w:p>
    <w:p w14:paraId="57B82830" w14:textId="13057EAB" w:rsidR="006D5F29" w:rsidRDefault="006D5F29" w:rsidP="006D5F29">
      <w:pPr>
        <w:jc w:val="center"/>
        <w:rPr>
          <w:rFonts w:ascii="Calibri" w:hAnsi="Calibri" w:cs="Calibri"/>
          <w:vertAlign w:val="superscript"/>
        </w:rPr>
      </w:pPr>
      <w:r>
        <w:rPr>
          <w:rFonts w:ascii="Calibri" w:hAnsi="Calibri" w:cs="Calibri"/>
        </w:rPr>
        <w:t>Anders Kringh</w:t>
      </w:r>
      <w:r w:rsidRPr="006832FA">
        <w:t>ø</w:t>
      </w:r>
      <w:r>
        <w:t>j</w:t>
      </w:r>
      <w:r>
        <w:rPr>
          <w:rFonts w:ascii="Calibri" w:hAnsi="Calibri" w:cs="Calibri"/>
          <w:vertAlign w:val="superscript"/>
        </w:rPr>
        <w:t>1</w:t>
      </w:r>
      <w:r>
        <w:rPr>
          <w:rFonts w:ascii="Calibri" w:hAnsi="Calibri" w:cs="Calibri"/>
        </w:rPr>
        <w:t>, Wyatt Vine</w:t>
      </w:r>
      <w:r>
        <w:rPr>
          <w:rFonts w:ascii="Calibri" w:hAnsi="Calibri" w:cs="Calibri"/>
          <w:vertAlign w:val="superscript"/>
        </w:rPr>
        <w:t>1</w:t>
      </w:r>
      <w:r>
        <w:rPr>
          <w:rFonts w:ascii="Calibri" w:hAnsi="Calibri" w:cs="Calibri"/>
        </w:rPr>
        <w:t>, Arjen Vaartjes</w:t>
      </w:r>
      <w:r>
        <w:rPr>
          <w:rFonts w:ascii="Calibri" w:hAnsi="Calibri" w:cs="Calibri"/>
          <w:vertAlign w:val="superscript"/>
        </w:rPr>
        <w:t>1</w:t>
      </w:r>
      <w:r>
        <w:rPr>
          <w:rFonts w:ascii="Calibri" w:hAnsi="Calibri" w:cs="Calibri"/>
        </w:rPr>
        <w:t xml:space="preserve">, </w:t>
      </w:r>
      <w:r w:rsidRPr="006D5F29">
        <w:rPr>
          <w:rFonts w:ascii="Calibri" w:hAnsi="Calibri" w:cs="Calibri"/>
        </w:rPr>
        <w:t>Mykhailo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Savytskyi</w:t>
      </w:r>
      <w:r>
        <w:rPr>
          <w:rFonts w:ascii="Calibri" w:hAnsi="Calibri" w:cs="Calibri"/>
          <w:vertAlign w:val="superscript"/>
        </w:rPr>
        <w:t>1</w:t>
      </w:r>
      <w:r>
        <w:rPr>
          <w:rFonts w:ascii="Calibri" w:hAnsi="Calibri" w:cs="Calibri"/>
        </w:rPr>
        <w:t>, Daniel Parker</w:t>
      </w:r>
      <w:r>
        <w:rPr>
          <w:rFonts w:ascii="Calibri" w:hAnsi="Calibri" w:cs="Calibri"/>
          <w:vertAlign w:val="superscript"/>
        </w:rPr>
        <w:t>1</w:t>
      </w:r>
      <w:r>
        <w:rPr>
          <w:rFonts w:ascii="Calibri" w:hAnsi="Calibri" w:cs="Calibri"/>
        </w:rPr>
        <w:t xml:space="preserve">, </w:t>
      </w:r>
      <w:r w:rsidRPr="006D5F29">
        <w:rPr>
          <w:rFonts w:ascii="Calibri" w:hAnsi="Calibri" w:cs="Calibri"/>
        </w:rPr>
        <w:t>James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Slack-Smith</w:t>
      </w:r>
      <w:r>
        <w:rPr>
          <w:rFonts w:ascii="Calibri" w:hAnsi="Calibri" w:cs="Calibri"/>
          <w:vertAlign w:val="superscript"/>
        </w:rPr>
        <w:t>1</w:t>
      </w:r>
      <w:r w:rsidRPr="006D5F29">
        <w:rPr>
          <w:rFonts w:ascii="Calibri" w:hAnsi="Calibri" w:cs="Calibri"/>
        </w:rPr>
        <w:t xml:space="preserve">, </w:t>
      </w:r>
      <w:r w:rsidR="006D3808">
        <w:rPr>
          <w:rFonts w:ascii="Calibri" w:hAnsi="Calibri" w:cs="Calibri"/>
        </w:rPr>
        <w:t>Tom Day</w:t>
      </w:r>
      <w:r w:rsidR="006D3808" w:rsidRPr="006D3808">
        <w:rPr>
          <w:rFonts w:ascii="Calibri" w:hAnsi="Calibri" w:cs="Calibri"/>
          <w:vertAlign w:val="superscript"/>
        </w:rPr>
        <w:t>1</w:t>
      </w:r>
      <w:r w:rsidR="006D3808">
        <w:rPr>
          <w:rFonts w:ascii="Calibri" w:hAnsi="Calibri" w:cs="Calibri"/>
        </w:rPr>
        <w:t xml:space="preserve">, </w:t>
      </w:r>
      <w:r w:rsidRPr="006D5F29">
        <w:rPr>
          <w:rFonts w:ascii="Calibri" w:hAnsi="Calibri" w:cs="Calibri"/>
        </w:rPr>
        <w:t>Thomas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Schenkel</w:t>
      </w:r>
      <w:r w:rsidRPr="006D5F29">
        <w:rPr>
          <w:rFonts w:ascii="Calibri" w:hAnsi="Calibri" w:cs="Calibri"/>
          <w:vertAlign w:val="superscript"/>
        </w:rPr>
        <w:t>2</w:t>
      </w:r>
      <w:r w:rsidRPr="006D5F29">
        <w:rPr>
          <w:rFonts w:ascii="Calibri" w:hAnsi="Calibri" w:cs="Calibri"/>
        </w:rPr>
        <w:t>, Klaus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Mølmer</w:t>
      </w:r>
      <w:r w:rsidRPr="006D5F29">
        <w:rPr>
          <w:rFonts w:ascii="Calibri" w:hAnsi="Calibri" w:cs="Calibri"/>
          <w:vertAlign w:val="superscript"/>
        </w:rPr>
        <w:t>3</w:t>
      </w:r>
      <w:r w:rsidRPr="006D5F29">
        <w:rPr>
          <w:rFonts w:ascii="Calibri" w:hAnsi="Calibri" w:cs="Calibri"/>
        </w:rPr>
        <w:t>, Jeffrey C. McCallum</w:t>
      </w:r>
      <w:r w:rsidRPr="006D5F29">
        <w:rPr>
          <w:rFonts w:ascii="Calibri" w:hAnsi="Calibri" w:cs="Calibri"/>
          <w:vertAlign w:val="superscript"/>
        </w:rPr>
        <w:t>4</w:t>
      </w:r>
      <w:r w:rsidRPr="006D5F29">
        <w:rPr>
          <w:rFonts w:ascii="Calibri" w:hAnsi="Calibri" w:cs="Calibri"/>
        </w:rPr>
        <w:t>, Brett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C. Johnson</w:t>
      </w:r>
      <w:r w:rsidRPr="006D5F29">
        <w:rPr>
          <w:rFonts w:ascii="Calibri" w:hAnsi="Calibri" w:cs="Calibri"/>
          <w:vertAlign w:val="superscript"/>
        </w:rPr>
        <w:t>5</w:t>
      </w:r>
      <w:r>
        <w:rPr>
          <w:rFonts w:ascii="Calibri" w:hAnsi="Calibri" w:cs="Calibri"/>
        </w:rPr>
        <w:t>, Andrea Morello</w:t>
      </w:r>
      <w:r>
        <w:rPr>
          <w:rFonts w:ascii="Calibri" w:hAnsi="Calibri" w:cs="Calibri"/>
          <w:vertAlign w:val="superscript"/>
        </w:rPr>
        <w:t>1</w:t>
      </w:r>
      <w:r>
        <w:rPr>
          <w:rFonts w:ascii="Calibri" w:hAnsi="Calibri" w:cs="Calibri"/>
        </w:rPr>
        <w:t>, and Jarryd J. Pla</w:t>
      </w:r>
      <w:r>
        <w:rPr>
          <w:rFonts w:ascii="Calibri" w:hAnsi="Calibri" w:cs="Calibri"/>
          <w:vertAlign w:val="superscript"/>
        </w:rPr>
        <w:t>1</w:t>
      </w:r>
    </w:p>
    <w:p w14:paraId="0FFB97D2" w14:textId="3540479B" w:rsidR="006D5F29" w:rsidRPr="006D5F29" w:rsidRDefault="006D5F29" w:rsidP="00531BB4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>1</w:t>
      </w:r>
      <w:r w:rsidRPr="006D5F29">
        <w:t xml:space="preserve"> </w:t>
      </w:r>
      <w:r w:rsidRPr="006D5F29">
        <w:rPr>
          <w:rFonts w:ascii="Calibri" w:hAnsi="Calibri" w:cs="Calibri"/>
        </w:rPr>
        <w:t>School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of Electrical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Engineering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and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Telecommunications,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UNSW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Sydney,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Sydney,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NSW 2052, Australia</w:t>
      </w:r>
      <w:r w:rsidR="00726FDA">
        <w:rPr>
          <w:rFonts w:ascii="Calibri" w:hAnsi="Calibri" w:cs="Calibri"/>
        </w:rPr>
        <w:t xml:space="preserve">. </w:t>
      </w:r>
      <w:r w:rsidR="00531BB4">
        <w:rPr>
          <w:rFonts w:ascii="Calibri" w:hAnsi="Calibri" w:cs="Calibri"/>
        </w:rPr>
        <w:br/>
      </w:r>
      <w:r w:rsidRPr="006D5F29">
        <w:rPr>
          <w:rFonts w:ascii="Calibri" w:hAnsi="Calibri" w:cs="Calibri"/>
          <w:vertAlign w:val="superscript"/>
        </w:rPr>
        <w:t>2</w:t>
      </w:r>
      <w:r w:rsidRPr="006D5F29">
        <w:rPr>
          <w:rFonts w:ascii="Calibri" w:hAnsi="Calibri" w:cs="Calibri"/>
        </w:rPr>
        <w:t>Accelerator Technology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and Applied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Physics Division,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Lawrence Berkeley National Laboratory, Berkeley, CA 94720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,USA.</w:t>
      </w:r>
      <w:r>
        <w:rPr>
          <w:rFonts w:ascii="Calibri" w:hAnsi="Calibri" w:cs="Calibri"/>
        </w:rPr>
        <w:t xml:space="preserve"> </w:t>
      </w:r>
      <w:r w:rsidR="00531BB4">
        <w:rPr>
          <w:rFonts w:ascii="Calibri" w:hAnsi="Calibri" w:cs="Calibri"/>
        </w:rPr>
        <w:br/>
      </w:r>
      <w:r w:rsidRPr="006D5F29">
        <w:rPr>
          <w:rFonts w:ascii="Calibri" w:hAnsi="Calibri" w:cs="Calibri"/>
          <w:vertAlign w:val="superscript"/>
        </w:rPr>
        <w:t>3</w:t>
      </w:r>
      <w:r w:rsidRPr="006D5F29">
        <w:rPr>
          <w:rFonts w:ascii="Calibri" w:hAnsi="Calibri" w:cs="Calibri"/>
        </w:rPr>
        <w:t>Niels Bohr Institute,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University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of Copenhagen,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Blegdamsvej 17, DK-2100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Copenhagen,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Denmark.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  <w:vertAlign w:val="superscript"/>
        </w:rPr>
        <w:t>4</w:t>
      </w:r>
      <w:r w:rsidRPr="006D5F29">
        <w:rPr>
          <w:rFonts w:ascii="Calibri" w:hAnsi="Calibri" w:cs="Calibri"/>
        </w:rPr>
        <w:t>School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of Physics, University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of Melbourne,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Melbourne,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VIC 3010,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Australia.</w:t>
      </w:r>
      <w:r>
        <w:rPr>
          <w:rFonts w:ascii="Calibri" w:hAnsi="Calibri" w:cs="Calibri"/>
        </w:rPr>
        <w:t xml:space="preserve"> </w:t>
      </w:r>
      <w:r w:rsidR="00531BB4">
        <w:rPr>
          <w:rFonts w:ascii="Calibri" w:hAnsi="Calibri" w:cs="Calibri"/>
        </w:rPr>
        <w:br/>
      </w:r>
      <w:r w:rsidRPr="006D5F29">
        <w:rPr>
          <w:rFonts w:ascii="Calibri" w:hAnsi="Calibri" w:cs="Calibri"/>
          <w:vertAlign w:val="superscript"/>
        </w:rPr>
        <w:t>5</w:t>
      </w:r>
      <w:r w:rsidRPr="006D5F29">
        <w:rPr>
          <w:rFonts w:ascii="Calibri" w:hAnsi="Calibri" w:cs="Calibri"/>
        </w:rPr>
        <w:t>School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of Science,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RMIT University,</w:t>
      </w:r>
      <w:r>
        <w:rPr>
          <w:rFonts w:ascii="Calibri" w:hAnsi="Calibri" w:cs="Calibri"/>
        </w:rPr>
        <w:t xml:space="preserve"> </w:t>
      </w:r>
      <w:r w:rsidRPr="006D5F29">
        <w:rPr>
          <w:rFonts w:ascii="Calibri" w:hAnsi="Calibri" w:cs="Calibri"/>
        </w:rPr>
        <w:t>VIC 3001, Australia</w:t>
      </w:r>
    </w:p>
    <w:p w14:paraId="6E21A739" w14:textId="203FF02A" w:rsidR="00301C51" w:rsidRDefault="006832FA" w:rsidP="008E0735">
      <w:pPr>
        <w:jc w:val="both"/>
      </w:pPr>
      <w:r>
        <w:t xml:space="preserve">The use of superconducting microresonators together with quantum-noise-limited microwave parametric amplifiers has enhanced the sensitivity of pulsed electron spin resonance (ESR) measurements by more than four orders of magnitude [1]. </w:t>
      </w:r>
      <w:r w:rsidR="00E23D87">
        <w:t xml:space="preserve">So far, the microwave resonators and </w:t>
      </w:r>
      <w:r w:rsidR="001A4063">
        <w:t xml:space="preserve">quantum </w:t>
      </w:r>
      <w:r w:rsidR="00E23D87">
        <w:t xml:space="preserve">amplifiers have been designed as separate components due to the incompatibility of </w:t>
      </w:r>
      <w:r w:rsidR="00734B92">
        <w:t>conventional</w:t>
      </w:r>
      <w:r w:rsidR="00E23D87">
        <w:t xml:space="preserve"> </w:t>
      </w:r>
      <w:r w:rsidR="007860EB">
        <w:t xml:space="preserve">superconducting </w:t>
      </w:r>
      <w:r w:rsidR="00734B92">
        <w:t>quantum-limited amplifiers</w:t>
      </w:r>
      <w:r w:rsidR="00E23D87">
        <w:t xml:space="preserve"> with </w:t>
      </w:r>
      <w:r w:rsidR="001A4063">
        <w:t xml:space="preserve">even moderate </w:t>
      </w:r>
      <w:r w:rsidR="00E23D87">
        <w:t xml:space="preserve">magnetic fields. </w:t>
      </w:r>
      <w:r>
        <w:t xml:space="preserve">This has produced complex spectrometers and raised technical barriers toward adoption of the technique. </w:t>
      </w:r>
      <w:r w:rsidR="00606372">
        <w:t xml:space="preserve">Here, we circumvent this issue by coupling an ensemble of spins directly to a magnetic field–resilient superconducting microwave resonator that exhibits a weak nonlinearity in the form of kinetic inductance [2]. </w:t>
      </w:r>
      <w:r w:rsidR="00E23D87">
        <w:t xml:space="preserve">We perform pulsed ESR measurements </w:t>
      </w:r>
      <w:r w:rsidR="002450F7">
        <w:t xml:space="preserve">on a </w:t>
      </w:r>
      <w:r w:rsidR="00AF6CB6">
        <w:t xml:space="preserve">bismuth </w:t>
      </w:r>
      <w:r w:rsidR="002450F7">
        <w:t>spin ensemble</w:t>
      </w:r>
      <w:r w:rsidR="00AF6CB6">
        <w:t xml:space="preserve"> in silicon</w:t>
      </w:r>
      <w:r w:rsidR="00E23D87">
        <w:t xml:space="preserve"> and </w:t>
      </w:r>
      <w:r w:rsidR="001A4063">
        <w:t xml:space="preserve">use the weak nonlinearity to </w:t>
      </w:r>
      <w:r w:rsidR="00E23D87">
        <w:t>amplify the resulting</w:t>
      </w:r>
      <w:r w:rsidR="001A4063">
        <w:t xml:space="preserve"> echo</w:t>
      </w:r>
      <w:r w:rsidR="00E23D87">
        <w:t xml:space="preserve"> signals within the </w:t>
      </w:r>
      <w:r w:rsidR="001A4063">
        <w:t xml:space="preserve">same </w:t>
      </w:r>
      <w:r w:rsidR="00E23D87">
        <w:t xml:space="preserve">device. </w:t>
      </w:r>
      <w:r w:rsidR="00C82591">
        <w:t>W</w:t>
      </w:r>
      <w:r w:rsidR="00C82591" w:rsidRPr="00C82591">
        <w:t>e demonstrate an enhancement</w:t>
      </w:r>
      <w:r w:rsidR="00C82591">
        <w:t xml:space="preserve"> </w:t>
      </w:r>
      <w:r w:rsidR="00C82591" w:rsidRPr="00C82591">
        <w:t>of the signal-to-noise</w:t>
      </w:r>
      <w:r w:rsidR="00C82591">
        <w:t xml:space="preserve"> </w:t>
      </w:r>
      <w:r w:rsidR="00C82591" w:rsidRPr="00C82591">
        <w:t>ratio of 7.5 at a magnetic</w:t>
      </w:r>
      <w:r w:rsidR="00C82591">
        <w:t xml:space="preserve"> </w:t>
      </w:r>
      <w:r w:rsidR="00C82591" w:rsidRPr="00C82591">
        <w:t>field</w:t>
      </w:r>
      <w:r w:rsidR="00C82591">
        <w:t xml:space="preserve"> </w:t>
      </w:r>
      <w:r w:rsidR="00C82591" w:rsidRPr="00C82591">
        <w:t>of 6.8 mT</w:t>
      </w:r>
      <w:r w:rsidR="00C82591">
        <w:t xml:space="preserve"> </w:t>
      </w:r>
      <w:r w:rsidR="00C82591" w:rsidRPr="00C82591">
        <w:t>and</w:t>
      </w:r>
      <w:r w:rsidR="00C82591">
        <w:t xml:space="preserve"> </w:t>
      </w:r>
      <w:r w:rsidR="00C82591" w:rsidRPr="00C82591">
        <w:t>3.8 at 250mT, corresponding</w:t>
      </w:r>
      <w:r w:rsidR="00D959FD">
        <w:t xml:space="preserve"> </w:t>
      </w:r>
      <w:r w:rsidR="00C82591" w:rsidRPr="00C82591">
        <w:t>to a more than</w:t>
      </w:r>
      <w:r w:rsidR="00D959FD">
        <w:t xml:space="preserve"> </w:t>
      </w:r>
      <w:r w:rsidR="00C82591" w:rsidRPr="00C82591">
        <w:t>order</w:t>
      </w:r>
      <w:r w:rsidR="00D959FD">
        <w:t xml:space="preserve"> </w:t>
      </w:r>
      <w:r w:rsidR="00C82591" w:rsidRPr="00C82591">
        <w:t xml:space="preserve">of </w:t>
      </w:r>
      <w:r w:rsidR="00D959FD">
        <w:t>magnitude r</w:t>
      </w:r>
      <w:r w:rsidR="00C82591" w:rsidRPr="00C82591">
        <w:t>eduction</w:t>
      </w:r>
      <w:r w:rsidR="00D959FD">
        <w:t xml:space="preserve"> </w:t>
      </w:r>
      <w:r w:rsidR="00C82591" w:rsidRPr="00C82591">
        <w:t>in measurement</w:t>
      </w:r>
      <w:r w:rsidR="00D959FD">
        <w:t xml:space="preserve"> </w:t>
      </w:r>
      <w:r w:rsidR="00C82591" w:rsidRPr="00C82591">
        <w:t>times</w:t>
      </w:r>
      <w:r w:rsidR="00D959FD">
        <w:t xml:space="preserve"> </w:t>
      </w:r>
      <w:r w:rsidR="001A4063">
        <w:t>[3]</w:t>
      </w:r>
      <w:r w:rsidR="00E23D87">
        <w:t>. In situ amplification is demonstrated at fields up to 254 mT</w:t>
      </w:r>
      <w:r w:rsidR="0011055A">
        <w:t xml:space="preserve">. </w:t>
      </w:r>
    </w:p>
    <w:p w14:paraId="5AA706E6" w14:textId="086DEA53" w:rsidR="00495F9A" w:rsidRDefault="00D959FD" w:rsidP="008E0735">
      <w:pPr>
        <w:jc w:val="both"/>
      </w:pPr>
      <w:r>
        <w:t xml:space="preserve">Following this, in a second generation of </w:t>
      </w:r>
      <w:r w:rsidR="007B6B7C">
        <w:t>devices</w:t>
      </w:r>
      <w:r>
        <w:t>, we</w:t>
      </w:r>
      <w:r w:rsidR="002450F7">
        <w:t xml:space="preserve"> have demonstrated the capability of </w:t>
      </w:r>
      <w:r w:rsidR="008B58AE">
        <w:t xml:space="preserve">performing </w:t>
      </w:r>
      <w:r w:rsidR="002017DA">
        <w:t>amplification inside</w:t>
      </w:r>
      <w:r w:rsidR="002450F7">
        <w:t xml:space="preserve"> several tesla</w:t>
      </w:r>
      <w:r w:rsidR="006832FA">
        <w:t xml:space="preserve"> </w:t>
      </w:r>
      <w:r w:rsidR="00AC4F4C">
        <w:t xml:space="preserve">magnetic fields </w:t>
      </w:r>
      <w:r w:rsidR="006832FA">
        <w:t>[4]</w:t>
      </w:r>
      <w:r w:rsidR="0011055A">
        <w:t xml:space="preserve">, highlighting the technique’s potential for application under </w:t>
      </w:r>
      <w:r w:rsidR="00076827">
        <w:t xml:space="preserve">more extreme </w:t>
      </w:r>
      <w:r w:rsidR="0011055A">
        <w:t>ESR operating conditions.</w:t>
      </w:r>
      <w:r w:rsidR="006832FA">
        <w:t xml:space="preserve"> </w:t>
      </w:r>
      <w:r w:rsidR="00AC4F4C">
        <w:t>T</w:t>
      </w:r>
      <w:r w:rsidR="006832FA">
        <w:t>h</w:t>
      </w:r>
      <w:r w:rsidR="006D3808">
        <w:t>ese new types of parametric amplifiers</w:t>
      </w:r>
      <w:r w:rsidR="006832FA">
        <w:t xml:space="preserve"> </w:t>
      </w:r>
      <w:r w:rsidR="00EF4031">
        <w:t xml:space="preserve">could </w:t>
      </w:r>
      <w:r w:rsidR="006832FA">
        <w:t xml:space="preserve">be utilised in </w:t>
      </w:r>
      <w:r w:rsidR="00C82591">
        <w:t>the amplification chain of</w:t>
      </w:r>
      <w:r w:rsidR="00AC4F4C">
        <w:t xml:space="preserve"> RF</w:t>
      </w:r>
      <w:r w:rsidR="00F26174">
        <w:t xml:space="preserve">-SET or gate-based </w:t>
      </w:r>
      <w:r w:rsidR="009704B4">
        <w:t>dispersive</w:t>
      </w:r>
      <w:r w:rsidR="00F26174">
        <w:t xml:space="preserve"> readout of</w:t>
      </w:r>
      <w:r w:rsidR="002450F7">
        <w:t xml:space="preserve"> spin-based </w:t>
      </w:r>
      <w:r w:rsidR="00C82591">
        <w:t xml:space="preserve">qubit </w:t>
      </w:r>
      <w:r w:rsidR="002450F7">
        <w:t>devices</w:t>
      </w:r>
      <w:r w:rsidR="006832FA">
        <w:t xml:space="preserve">, which </w:t>
      </w:r>
      <w:r w:rsidR="00F26174">
        <w:t>would benefit from the device</w:t>
      </w:r>
      <w:r w:rsidR="008B58AE">
        <w:t>’</w:t>
      </w:r>
      <w:r w:rsidR="00F26174">
        <w:t xml:space="preserve">s </w:t>
      </w:r>
      <w:r w:rsidR="006832FA">
        <w:t>magnetic field</w:t>
      </w:r>
      <w:r w:rsidR="00F26174">
        <w:t xml:space="preserve"> </w:t>
      </w:r>
      <w:r w:rsidR="008B58AE">
        <w:t>compatibility</w:t>
      </w:r>
      <w:r w:rsidR="00EF4031">
        <w:t xml:space="preserve"> and high </w:t>
      </w:r>
      <w:r w:rsidR="009704B4">
        <w:t>dynamic range</w:t>
      </w:r>
      <w:r w:rsidR="00AC4F4C">
        <w:t>.</w:t>
      </w:r>
    </w:p>
    <w:p w14:paraId="00020EF7" w14:textId="48B352EC" w:rsidR="00B4284E" w:rsidRDefault="00B4284E" w:rsidP="00BD7D2E">
      <w:pPr>
        <w:jc w:val="both"/>
      </w:pPr>
      <w:r>
        <w:t>[1]</w:t>
      </w:r>
      <w:r w:rsidR="00D958AC">
        <w:t xml:space="preserve"> </w:t>
      </w:r>
      <w:r w:rsidR="00BD7D2E">
        <w:t>A. Bienfait, J. J. Pla, et al., “Reaching the quantum limit of sensitivity in electron spin resonance”, Nature Nanotechnology 11, 235 (2016)</w:t>
      </w:r>
    </w:p>
    <w:p w14:paraId="14B86F3C" w14:textId="53793B59" w:rsidR="00B4284E" w:rsidRDefault="00B4284E" w:rsidP="00BD7D2E">
      <w:pPr>
        <w:jc w:val="both"/>
      </w:pPr>
      <w:r>
        <w:t>[2]</w:t>
      </w:r>
      <w:r w:rsidR="00555232">
        <w:t xml:space="preserve"> </w:t>
      </w:r>
      <w:r w:rsidR="00BD7D2E">
        <w:t xml:space="preserve">D. J. Parker, et al., “Degenerate Parametric Amplification via Three-Wave Mixing Using Kinetic Inductance”, Phys. Rev. Appl. 17, 034064 (2022) </w:t>
      </w:r>
    </w:p>
    <w:p w14:paraId="3009637D" w14:textId="5C618589" w:rsidR="00B4284E" w:rsidRDefault="00B4284E" w:rsidP="00BD7D2E">
      <w:pPr>
        <w:jc w:val="both"/>
      </w:pPr>
      <w:r>
        <w:t>[</w:t>
      </w:r>
      <w:r w:rsidR="00BD7D2E">
        <w:t>3] W. Vine, et al., “In-situ amplification of spin echoes within a kinetic inductance parametric amplifier”, Science Advances 9, adg1593 (2023)</w:t>
      </w:r>
    </w:p>
    <w:p w14:paraId="098985FA" w14:textId="70A1C112" w:rsidR="006832FA" w:rsidRDefault="006832FA" w:rsidP="00BD7D2E">
      <w:pPr>
        <w:jc w:val="both"/>
      </w:pPr>
      <w:r>
        <w:t>[4] A. Vaartjes, A. Kringh</w:t>
      </w:r>
      <w:r w:rsidRPr="006832FA">
        <w:t>ø</w:t>
      </w:r>
      <w:r>
        <w:t>j</w:t>
      </w:r>
      <w:r w:rsidR="00606372">
        <w:t>,</w:t>
      </w:r>
      <w:r>
        <w:t xml:space="preserve"> W. Vine, et al., “</w:t>
      </w:r>
      <w:r w:rsidRPr="006832FA">
        <w:t>Magnetic Field and Temperature Resilient Squeezing of a Microwave Vacuum</w:t>
      </w:r>
      <w:r>
        <w:t xml:space="preserve">”, </w:t>
      </w:r>
      <w:hyperlink r:id="rId5" w:history="1">
        <w:r w:rsidR="00AE6ED9" w:rsidRPr="00AE6ED9">
          <w:t>Nature Communications</w:t>
        </w:r>
      </w:hyperlink>
      <w:r w:rsidR="00AE6ED9" w:rsidRPr="00AE6ED9">
        <w:t> 15, 4229 (2024) </w:t>
      </w:r>
    </w:p>
    <w:p w14:paraId="1D54D216" w14:textId="77777777" w:rsidR="001673D1" w:rsidRPr="006832FA" w:rsidRDefault="001673D1" w:rsidP="001673D1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32FA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</w:p>
    <w:p w14:paraId="5A0C59CE" w14:textId="77777777" w:rsidR="001673D1" w:rsidRPr="006832FA" w:rsidRDefault="001673D1" w:rsidP="001673D1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32FA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</w:p>
    <w:p w14:paraId="6E50FF59" w14:textId="77777777" w:rsidR="001673D1" w:rsidRPr="00DB01C4" w:rsidRDefault="001673D1" w:rsidP="008E0735">
      <w:pPr>
        <w:jc w:val="both"/>
      </w:pPr>
    </w:p>
    <w:p w14:paraId="305A2124" w14:textId="77777777" w:rsidR="00FD2359" w:rsidRDefault="00FD2359"/>
    <w:sectPr w:rsidR="00FD23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35"/>
    <w:rsid w:val="00076827"/>
    <w:rsid w:val="00086A17"/>
    <w:rsid w:val="0011055A"/>
    <w:rsid w:val="001266E1"/>
    <w:rsid w:val="0015693B"/>
    <w:rsid w:val="001673D1"/>
    <w:rsid w:val="0017438F"/>
    <w:rsid w:val="0019262E"/>
    <w:rsid w:val="00196D35"/>
    <w:rsid w:val="001A4063"/>
    <w:rsid w:val="001D49D4"/>
    <w:rsid w:val="001D7A94"/>
    <w:rsid w:val="002017DA"/>
    <w:rsid w:val="002450F7"/>
    <w:rsid w:val="002945A6"/>
    <w:rsid w:val="002E2764"/>
    <w:rsid w:val="002F6C8E"/>
    <w:rsid w:val="00301C51"/>
    <w:rsid w:val="00326726"/>
    <w:rsid w:val="00341AE5"/>
    <w:rsid w:val="00357EE2"/>
    <w:rsid w:val="00376CD2"/>
    <w:rsid w:val="0039459D"/>
    <w:rsid w:val="00403226"/>
    <w:rsid w:val="004428BF"/>
    <w:rsid w:val="00495F9A"/>
    <w:rsid w:val="004C4EFD"/>
    <w:rsid w:val="004D1868"/>
    <w:rsid w:val="00531BB4"/>
    <w:rsid w:val="00555232"/>
    <w:rsid w:val="00561638"/>
    <w:rsid w:val="00575E3F"/>
    <w:rsid w:val="005E1E1D"/>
    <w:rsid w:val="00606372"/>
    <w:rsid w:val="00676E24"/>
    <w:rsid w:val="006832FA"/>
    <w:rsid w:val="00693538"/>
    <w:rsid w:val="006A2ADC"/>
    <w:rsid w:val="006C0D40"/>
    <w:rsid w:val="006D3808"/>
    <w:rsid w:val="006D5F29"/>
    <w:rsid w:val="0070107C"/>
    <w:rsid w:val="00713BAE"/>
    <w:rsid w:val="00722BA1"/>
    <w:rsid w:val="00726FDA"/>
    <w:rsid w:val="00734B92"/>
    <w:rsid w:val="007860EB"/>
    <w:rsid w:val="007A2A08"/>
    <w:rsid w:val="007B58FA"/>
    <w:rsid w:val="007B6B7C"/>
    <w:rsid w:val="007B6F3F"/>
    <w:rsid w:val="00806D68"/>
    <w:rsid w:val="00843D73"/>
    <w:rsid w:val="008A5A4F"/>
    <w:rsid w:val="008B58AE"/>
    <w:rsid w:val="008E0735"/>
    <w:rsid w:val="00905E5A"/>
    <w:rsid w:val="00960F29"/>
    <w:rsid w:val="009627B6"/>
    <w:rsid w:val="009704B4"/>
    <w:rsid w:val="009E0358"/>
    <w:rsid w:val="00A84EE4"/>
    <w:rsid w:val="00AC4F4C"/>
    <w:rsid w:val="00AE6ED9"/>
    <w:rsid w:val="00AF6CB6"/>
    <w:rsid w:val="00B4284E"/>
    <w:rsid w:val="00BD7B39"/>
    <w:rsid w:val="00BD7D2E"/>
    <w:rsid w:val="00BF6411"/>
    <w:rsid w:val="00C131C9"/>
    <w:rsid w:val="00C17E5A"/>
    <w:rsid w:val="00C25B30"/>
    <w:rsid w:val="00C82591"/>
    <w:rsid w:val="00C8297D"/>
    <w:rsid w:val="00C914A6"/>
    <w:rsid w:val="00CE1B6D"/>
    <w:rsid w:val="00CE47FA"/>
    <w:rsid w:val="00CE52D7"/>
    <w:rsid w:val="00CF63C4"/>
    <w:rsid w:val="00D17DD1"/>
    <w:rsid w:val="00D30523"/>
    <w:rsid w:val="00D95521"/>
    <w:rsid w:val="00D958AC"/>
    <w:rsid w:val="00D959FD"/>
    <w:rsid w:val="00DB57DA"/>
    <w:rsid w:val="00DF62B1"/>
    <w:rsid w:val="00E20C5E"/>
    <w:rsid w:val="00E23D87"/>
    <w:rsid w:val="00EC7C74"/>
    <w:rsid w:val="00ED5D4E"/>
    <w:rsid w:val="00ED7D66"/>
    <w:rsid w:val="00EF4031"/>
    <w:rsid w:val="00F01D52"/>
    <w:rsid w:val="00F112BF"/>
    <w:rsid w:val="00F26174"/>
    <w:rsid w:val="00FA4EDF"/>
    <w:rsid w:val="00FD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B8ECE"/>
  <w15:chartTrackingRefBased/>
  <w15:docId w15:val="{83E50192-E249-44B5-A9C7-20D2CE81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7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67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673D1"/>
  </w:style>
  <w:style w:type="character" w:customStyle="1" w:styleId="eop">
    <w:name w:val="eop"/>
    <w:basedOn w:val="DefaultParagraphFont"/>
    <w:rsid w:val="001673D1"/>
  </w:style>
  <w:style w:type="paragraph" w:styleId="Revision">
    <w:name w:val="Revision"/>
    <w:hidden/>
    <w:uiPriority w:val="99"/>
    <w:semiHidden/>
    <w:rsid w:val="00AF6C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6E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nature.com/ncom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BC30-C376-410F-BAC4-A47B86FA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2675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Jarryd Pla</dc:creator>
  <cp:keywords/>
  <dc:description/>
  <cp:lastModifiedBy>Anders Kringhoej</cp:lastModifiedBy>
  <cp:revision>7</cp:revision>
  <dcterms:created xsi:type="dcterms:W3CDTF">2023-08-22T00:45:00Z</dcterms:created>
  <dcterms:modified xsi:type="dcterms:W3CDTF">2024-09-13T00:07:00Z</dcterms:modified>
</cp:coreProperties>
</file>