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4B616" w14:textId="0773C30E" w:rsidR="00A8352C" w:rsidRPr="00C77156" w:rsidRDefault="000E0088" w:rsidP="001E4F9A">
      <w:pPr>
        <w:pStyle w:val="Titre"/>
      </w:pPr>
      <w:r w:rsidRPr="000E0088">
        <w:t>A scalable FDSOI spin qubits platform for quantum computing applications</w:t>
      </w:r>
    </w:p>
    <w:p w14:paraId="361DAD8E" w14:textId="2CC5282B" w:rsidR="000E0088" w:rsidRPr="000A0A49" w:rsidRDefault="000E0088" w:rsidP="001E4F9A">
      <w:pPr>
        <w:pStyle w:val="Affiliation"/>
        <w:rPr>
          <w:i w:val="0"/>
          <w:vertAlign w:val="superscript"/>
        </w:rPr>
      </w:pPr>
      <w:r w:rsidRPr="000A0A49">
        <w:rPr>
          <w:i w:val="0"/>
          <w:lang w:val="fr-FR"/>
        </w:rPr>
        <w:t>B. Bertrand</w:t>
      </w:r>
      <w:r w:rsidRPr="000A0A49">
        <w:rPr>
          <w:i w:val="0"/>
          <w:vertAlign w:val="superscript"/>
          <w:lang w:val="fr-FR"/>
        </w:rPr>
        <w:t>1</w:t>
      </w:r>
      <w:r w:rsidRPr="000A0A49">
        <w:rPr>
          <w:i w:val="0"/>
          <w:lang w:val="fr-FR"/>
        </w:rPr>
        <w:t>,</w:t>
      </w:r>
      <w:r w:rsidRPr="000A0A49">
        <w:rPr>
          <w:i w:val="0"/>
          <w:vertAlign w:val="superscript"/>
          <w:lang w:val="fr-FR"/>
        </w:rPr>
        <w:t xml:space="preserve"> </w:t>
      </w:r>
      <w:r w:rsidRPr="000A0A49">
        <w:rPr>
          <w:i w:val="0"/>
          <w:lang w:val="fr-FR"/>
        </w:rPr>
        <w:t>H. Niebojewski</w:t>
      </w:r>
      <w:r w:rsidRPr="000A0A49">
        <w:rPr>
          <w:i w:val="0"/>
          <w:vertAlign w:val="superscript"/>
          <w:lang w:val="fr-FR"/>
        </w:rPr>
        <w:t>1</w:t>
      </w:r>
      <w:r w:rsidRPr="000A0A49">
        <w:rPr>
          <w:i w:val="0"/>
          <w:lang w:val="fr-FR"/>
        </w:rPr>
        <w:t xml:space="preserve">, </w:t>
      </w:r>
      <w:r w:rsidR="000A0A49" w:rsidRPr="000A0A49">
        <w:rPr>
          <w:i w:val="0"/>
          <w:lang w:val="fr-FR"/>
        </w:rPr>
        <w:t>G. Roussely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 xml:space="preserve">, </w:t>
      </w:r>
      <w:r w:rsidRPr="000A0A49">
        <w:rPr>
          <w:i w:val="0"/>
          <w:lang w:val="fr-FR"/>
        </w:rPr>
        <w:t>V. Labracherie</w:t>
      </w:r>
      <w:r w:rsidRPr="000A0A49">
        <w:rPr>
          <w:i w:val="0"/>
          <w:vertAlign w:val="superscript"/>
          <w:lang w:val="fr-FR"/>
        </w:rPr>
        <w:t>1</w:t>
      </w:r>
      <w:r w:rsidRPr="000A0A49">
        <w:rPr>
          <w:i w:val="0"/>
          <w:lang w:val="fr-FR"/>
        </w:rPr>
        <w:t>,</w:t>
      </w:r>
      <w:r w:rsidR="000A0A49" w:rsidRPr="000A0A49">
        <w:rPr>
          <w:i w:val="0"/>
          <w:lang w:val="fr-FR"/>
        </w:rPr>
        <w:t xml:space="preserve"> </w:t>
      </w:r>
      <w:r w:rsidR="008B3408">
        <w:rPr>
          <w:i w:val="0"/>
          <w:lang w:val="fr-FR"/>
        </w:rPr>
        <w:t>D</w:t>
      </w:r>
      <w:r w:rsidR="008B3408" w:rsidRPr="000A0A49">
        <w:rPr>
          <w:i w:val="0"/>
          <w:lang w:val="fr-FR"/>
        </w:rPr>
        <w:t xml:space="preserve">. </w:t>
      </w:r>
      <w:r w:rsidR="008B3408">
        <w:rPr>
          <w:i w:val="0"/>
          <w:lang w:val="fr-FR"/>
        </w:rPr>
        <w:t>Robert</w:t>
      </w:r>
      <w:r w:rsidR="008B3408" w:rsidRPr="000A0A49">
        <w:rPr>
          <w:i w:val="0"/>
          <w:vertAlign w:val="superscript"/>
          <w:lang w:val="fr-FR"/>
        </w:rPr>
        <w:t>1</w:t>
      </w:r>
      <w:r w:rsidR="008B3408" w:rsidRPr="000A0A49">
        <w:rPr>
          <w:i w:val="0"/>
          <w:lang w:val="fr-FR"/>
        </w:rPr>
        <w:t xml:space="preserve">, </w:t>
      </w:r>
      <w:r w:rsidR="000A0A49" w:rsidRPr="000A0A49">
        <w:rPr>
          <w:i w:val="0"/>
          <w:lang w:val="fr-FR"/>
        </w:rPr>
        <w:t>H. Sahin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>,</w:t>
      </w:r>
      <w:r w:rsidRPr="000A0A49">
        <w:rPr>
          <w:i w:val="0"/>
          <w:lang w:val="fr-FR"/>
        </w:rPr>
        <w:t xml:space="preserve"> </w:t>
      </w:r>
      <w:r w:rsidR="000A0A49" w:rsidRPr="000A0A49">
        <w:rPr>
          <w:i w:val="0"/>
          <w:lang w:val="fr-FR"/>
        </w:rPr>
        <w:t>T. Bédécarrats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>,</w:t>
      </w:r>
      <w:r w:rsidR="000A0A49" w:rsidRPr="000A0A49">
        <w:rPr>
          <w:i w:val="0"/>
          <w:lang w:val="fr-FR"/>
        </w:rPr>
        <w:t xml:space="preserve"> </w:t>
      </w:r>
      <w:r w:rsidR="000A0A49" w:rsidRPr="000A0A49">
        <w:rPr>
          <w:i w:val="0"/>
          <w:lang w:val="fr-FR"/>
        </w:rPr>
        <w:t>E. Nowak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>,</w:t>
      </w:r>
      <w:r w:rsidR="000A0A49" w:rsidRPr="000A0A49">
        <w:rPr>
          <w:i w:val="0"/>
          <w:lang w:val="fr-FR"/>
        </w:rPr>
        <w:t xml:space="preserve"> P.-A. Mortemousque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 xml:space="preserve">, E. </w:t>
      </w:r>
      <w:r w:rsidR="000A0A49">
        <w:rPr>
          <w:i w:val="0"/>
          <w:lang w:val="fr-FR"/>
        </w:rPr>
        <w:t>Chanrion</w:t>
      </w:r>
      <w:r w:rsidR="000A0A49" w:rsidRPr="000A0A49">
        <w:rPr>
          <w:i w:val="0"/>
          <w:vertAlign w:val="superscript"/>
          <w:lang w:val="fr-FR"/>
        </w:rPr>
        <w:t>1</w:t>
      </w:r>
      <w:r w:rsidR="000A0A49">
        <w:rPr>
          <w:i w:val="0"/>
          <w:lang w:val="fr-FR"/>
        </w:rPr>
        <w:t xml:space="preserve">, </w:t>
      </w:r>
      <w:r w:rsidRPr="000A0A49">
        <w:rPr>
          <w:i w:val="0"/>
          <w:lang w:val="fr-FR"/>
        </w:rPr>
        <w:t>B. Martinez</w:t>
      </w:r>
      <w:r w:rsidRPr="000A0A49">
        <w:rPr>
          <w:i w:val="0"/>
          <w:vertAlign w:val="superscript"/>
          <w:lang w:val="fr-FR"/>
        </w:rPr>
        <w:t>1</w:t>
      </w:r>
      <w:r w:rsidRPr="000A0A49">
        <w:rPr>
          <w:i w:val="0"/>
          <w:lang w:val="fr-FR"/>
        </w:rPr>
        <w:t xml:space="preserve">, </w:t>
      </w:r>
      <w:r w:rsidR="000A0A49" w:rsidRPr="000A0A49">
        <w:rPr>
          <w:i w:val="0"/>
          <w:lang w:val="fr-FR"/>
        </w:rPr>
        <w:t>A. Sarrazin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>, F. Boulard</w:t>
      </w:r>
      <w:r w:rsidR="000A0A49" w:rsidRPr="000A0A49">
        <w:rPr>
          <w:i w:val="0"/>
          <w:vertAlign w:val="superscript"/>
          <w:lang w:val="fr-FR"/>
        </w:rPr>
        <w:t>1</w:t>
      </w:r>
      <w:r w:rsidR="000A0A49" w:rsidRPr="000A0A49">
        <w:rPr>
          <w:i w:val="0"/>
          <w:lang w:val="fr-FR"/>
        </w:rPr>
        <w:t xml:space="preserve">, J-M. </w:t>
      </w:r>
      <w:r w:rsidR="000A0A49" w:rsidRPr="000A0A49">
        <w:rPr>
          <w:i w:val="0"/>
        </w:rPr>
        <w:t>Hartmann</w:t>
      </w:r>
      <w:r w:rsidR="000A0A49" w:rsidRPr="000A0A49">
        <w:rPr>
          <w:i w:val="0"/>
          <w:vertAlign w:val="superscript"/>
        </w:rPr>
        <w:t>1</w:t>
      </w:r>
      <w:r w:rsidR="000A0A49" w:rsidRPr="000A0A49">
        <w:rPr>
          <w:i w:val="0"/>
        </w:rPr>
        <w:t>,</w:t>
      </w:r>
      <w:r w:rsidR="000A0A49" w:rsidRPr="000A0A49">
        <w:rPr>
          <w:i w:val="0"/>
        </w:rPr>
        <w:t xml:space="preserve"> </w:t>
      </w:r>
      <w:r w:rsidRPr="000A0A49">
        <w:rPr>
          <w:i w:val="0"/>
        </w:rPr>
        <w:t>B. Cardoso Paz</w:t>
      </w:r>
      <w:r w:rsidR="000A0A49" w:rsidRPr="000A0A49">
        <w:rPr>
          <w:i w:val="0"/>
          <w:vertAlign w:val="superscript"/>
        </w:rPr>
        <w:t>2</w:t>
      </w:r>
      <w:r w:rsidRPr="000A0A49">
        <w:rPr>
          <w:i w:val="0"/>
        </w:rPr>
        <w:t xml:space="preserve">, </w:t>
      </w:r>
      <w:r w:rsidR="000A0A49" w:rsidRPr="000A0A49">
        <w:rPr>
          <w:i w:val="0"/>
        </w:rPr>
        <w:t>T. Meunier</w:t>
      </w:r>
      <w:r w:rsidR="000A0A49" w:rsidRPr="000A0A49">
        <w:rPr>
          <w:i w:val="0"/>
          <w:vertAlign w:val="superscript"/>
        </w:rPr>
        <w:t>2</w:t>
      </w:r>
      <w:r w:rsidR="000A0A49" w:rsidRPr="000A0A49">
        <w:rPr>
          <w:i w:val="0"/>
        </w:rPr>
        <w:t>, M. Vinet</w:t>
      </w:r>
      <w:r w:rsidR="000A0A49" w:rsidRPr="000A0A49">
        <w:rPr>
          <w:i w:val="0"/>
          <w:vertAlign w:val="superscript"/>
        </w:rPr>
        <w:t>2</w:t>
      </w:r>
      <w:r w:rsidR="000A0A49" w:rsidRPr="000A0A49">
        <w:rPr>
          <w:i w:val="0"/>
        </w:rPr>
        <w:t xml:space="preserve">, </w:t>
      </w:r>
      <w:r w:rsidRPr="000A0A49">
        <w:rPr>
          <w:i w:val="0"/>
        </w:rPr>
        <w:t>Y.-M. Niquet</w:t>
      </w:r>
      <w:r w:rsidR="000A0A49" w:rsidRPr="000A0A49">
        <w:rPr>
          <w:i w:val="0"/>
          <w:vertAlign w:val="superscript"/>
        </w:rPr>
        <w:t>3</w:t>
      </w:r>
      <w:r w:rsidRPr="000A0A49">
        <w:rPr>
          <w:i w:val="0"/>
        </w:rPr>
        <w:t>, S. De Franceschi</w:t>
      </w:r>
      <w:r w:rsidR="000A0A49" w:rsidRPr="000A0A49">
        <w:rPr>
          <w:i w:val="0"/>
          <w:vertAlign w:val="superscript"/>
        </w:rPr>
        <w:t>3</w:t>
      </w:r>
    </w:p>
    <w:p w14:paraId="1DD8B8BA" w14:textId="2AB4ABD4" w:rsidR="00C77156" w:rsidRPr="000A0A49" w:rsidRDefault="00224950" w:rsidP="001E4F9A">
      <w:pPr>
        <w:pStyle w:val="Affiliation"/>
        <w:rPr>
          <w:lang w:val="fr-FR"/>
        </w:rPr>
      </w:pPr>
      <w:r w:rsidRPr="000A0A49">
        <w:rPr>
          <w:rFonts w:hint="eastAsia"/>
          <w:iCs/>
          <w:vertAlign w:val="superscript"/>
          <w:lang w:val="fr-FR"/>
        </w:rPr>
        <w:t>1</w:t>
      </w:r>
      <w:r w:rsidR="000A0A49" w:rsidRPr="000A0A49">
        <w:rPr>
          <w:lang w:val="fr-FR"/>
        </w:rPr>
        <w:t>CEA-Leti, Univ. Grenoble Alpes, F-38000 Grenoble, France</w:t>
      </w:r>
    </w:p>
    <w:p w14:paraId="3D73A587" w14:textId="43A36C6B" w:rsidR="00C77156" w:rsidRPr="000A0A49" w:rsidRDefault="00224950" w:rsidP="001E4F9A">
      <w:pPr>
        <w:pStyle w:val="Affiliation"/>
        <w:rPr>
          <w:lang w:val="en-CA"/>
        </w:rPr>
      </w:pPr>
      <w:r w:rsidRPr="000A0A49">
        <w:rPr>
          <w:rFonts w:hint="eastAsia"/>
          <w:iCs/>
          <w:vertAlign w:val="superscript"/>
          <w:lang w:val="en-CA"/>
        </w:rPr>
        <w:t>2</w:t>
      </w:r>
      <w:r w:rsidR="000A0A49" w:rsidRPr="000A0A49">
        <w:rPr>
          <w:lang w:val="en-CA"/>
        </w:rPr>
        <w:t>Quobly</w:t>
      </w:r>
    </w:p>
    <w:p w14:paraId="081FFB1B" w14:textId="6B3AC393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0A0A49" w:rsidRPr="000A0A49">
        <w:t>CEA-Irig, Univ. Grenoble Alpes, F-38000 Grenoble, France</w:t>
      </w:r>
    </w:p>
    <w:p w14:paraId="49373D7E" w14:textId="77777777" w:rsidR="00480AB4" w:rsidRDefault="00480AB4" w:rsidP="001E4F9A"/>
    <w:p w14:paraId="56AB45AD" w14:textId="4246DB86" w:rsidR="0020181E" w:rsidRDefault="0020181E" w:rsidP="0020181E">
      <w:r>
        <w:t>Semiconductor spin qubits are a prominent candidate to enable large-scale fault-tolerant quantum computing. Multiple academic and industrial groups are pursuing the development and characterization of Si and Ge-based platforms to this end [1]. These two materials indeed offer significant advantages, such as enhanced spin coherence time using isot</w:t>
      </w:r>
      <w:r w:rsidR="00E640B0">
        <w:t>opically purified precursors</w:t>
      </w:r>
      <w:r>
        <w:t>, in addition to decades of process engineering inherited from the microelectronics industry.</w:t>
      </w:r>
    </w:p>
    <w:p w14:paraId="039CF3B7" w14:textId="3C9634A1" w:rsidR="0020181E" w:rsidRDefault="000130B4" w:rsidP="0020181E">
      <w:r>
        <w:t xml:space="preserve">A fully error-corrected quantum computer would likely </w:t>
      </w:r>
      <w:r w:rsidR="0020181E">
        <w:t>implies the fabrication of millions of qubits with low variability [</w:t>
      </w:r>
      <w:r>
        <w:t>2</w:t>
      </w:r>
      <w:r w:rsidR="0020181E">
        <w:t xml:space="preserve">]. The FDSOI spin qubit platform developed by CEA-Leti is an example of Si spin qubit technology that leverages industrial processes and expertise to </w:t>
      </w:r>
      <w:r>
        <w:t>progress towards</w:t>
      </w:r>
      <w:r w:rsidR="0020181E">
        <w:t xml:space="preserve"> such requirements</w:t>
      </w:r>
      <w:r w:rsidR="008B3408">
        <w:t xml:space="preserve"> [</w:t>
      </w:r>
      <w:r>
        <w:t>3-5</w:t>
      </w:r>
      <w:r w:rsidR="008B3408">
        <w:t>]</w:t>
      </w:r>
      <w:r w:rsidR="0020181E">
        <w:t>.</w:t>
      </w:r>
    </w:p>
    <w:p w14:paraId="373E5C3E" w14:textId="77777777" w:rsidR="0020181E" w:rsidRDefault="0020181E" w:rsidP="0020181E">
      <w:r>
        <w:t>In this work, we present the recent development carried out by CEA-Leti to fabricate scalable linear quantum dot (QD) arrays. We strongly focus on device fabrication yield and variability, as it is a mandatory step to ensure larger devices functionality at room and cryogenic temperatures.</w:t>
      </w:r>
    </w:p>
    <w:p w14:paraId="6E65892B" w14:textId="77777777" w:rsidR="0020181E" w:rsidRDefault="0020181E" w:rsidP="0020181E">
      <w:r>
        <w:t>We also implemented new parametric tests procedures performed genuinely at room temperature that are adapted to the specificity of these quantum devices.</w:t>
      </w:r>
    </w:p>
    <w:p w14:paraId="484C1DDF" w14:textId="77777777" w:rsidR="0020181E" w:rsidRDefault="0020181E" w:rsidP="0020181E">
      <w:r>
        <w:t>In addition, we show that the use of the back-gate electrode is a valuable asset in achieving independent tuning of the QD readout vs exchange regime.</w:t>
      </w:r>
    </w:p>
    <w:p w14:paraId="316C20A3" w14:textId="1897CEBF" w:rsidR="007553E8" w:rsidRPr="0020181E" w:rsidRDefault="0020181E" w:rsidP="0020181E">
      <w:pPr>
        <w:rPr>
          <w:lang w:val="en-CA"/>
        </w:rPr>
      </w:pPr>
      <w:r>
        <w:t xml:space="preserve">This work </w:t>
      </w:r>
      <w:r w:rsidR="000130B4">
        <w:t>is</w:t>
      </w:r>
      <w:r>
        <w:t xml:space="preserve"> partly supported by the EU through the H2020 QLSI project and the European Research Council (ERC) Synergy QuCube project</w:t>
      </w:r>
      <w:r w:rsidR="000130B4">
        <w:t>.</w:t>
      </w:r>
    </w:p>
    <w:p w14:paraId="521F3935" w14:textId="77777777" w:rsidR="007553E8" w:rsidRPr="000130B4" w:rsidRDefault="007553E8" w:rsidP="007553E8">
      <w:pPr>
        <w:pStyle w:val="Reference"/>
        <w:rPr>
          <w:lang w:val="en-CA"/>
        </w:rPr>
      </w:pPr>
    </w:p>
    <w:p w14:paraId="16840874" w14:textId="77777777" w:rsidR="007553E8" w:rsidRPr="000130B4" w:rsidRDefault="007553E8" w:rsidP="007553E8">
      <w:pPr>
        <w:pStyle w:val="Reference"/>
        <w:rPr>
          <w:lang w:val="en-CA"/>
        </w:rPr>
      </w:pPr>
    </w:p>
    <w:p w14:paraId="0DED2F1D" w14:textId="77777777" w:rsidR="007553E8" w:rsidRPr="000130B4" w:rsidRDefault="007553E8" w:rsidP="007553E8">
      <w:pPr>
        <w:pStyle w:val="Reference"/>
        <w:rPr>
          <w:lang w:val="en-CA"/>
        </w:rPr>
      </w:pPr>
    </w:p>
    <w:p w14:paraId="156C16D3" w14:textId="77777777" w:rsidR="007553E8" w:rsidRPr="000130B4" w:rsidRDefault="007553E8" w:rsidP="007553E8">
      <w:pPr>
        <w:pStyle w:val="Reference"/>
        <w:rPr>
          <w:lang w:val="en-CA"/>
        </w:rPr>
      </w:pPr>
    </w:p>
    <w:p w14:paraId="15F73939" w14:textId="77777777" w:rsidR="007553E8" w:rsidRPr="000130B4" w:rsidRDefault="007553E8" w:rsidP="007553E8">
      <w:pPr>
        <w:pStyle w:val="Reference"/>
        <w:rPr>
          <w:lang w:val="en-CA"/>
        </w:rPr>
      </w:pPr>
    </w:p>
    <w:p w14:paraId="37E1E76D" w14:textId="2617D956" w:rsidR="00224950" w:rsidRPr="008B3408" w:rsidRDefault="00A322E1" w:rsidP="007553E8">
      <w:pPr>
        <w:pStyle w:val="Reference"/>
        <w:rPr>
          <w:lang w:val="en-CA"/>
        </w:rPr>
      </w:pPr>
      <w:r w:rsidRPr="008B3408">
        <w:rPr>
          <w:rFonts w:hint="eastAsia"/>
          <w:lang w:val="en-CA"/>
        </w:rPr>
        <w:t xml:space="preserve">[1] </w:t>
      </w:r>
      <w:r w:rsidR="008B3408" w:rsidRPr="008B3408">
        <w:rPr>
          <w:lang w:val="en-CA"/>
        </w:rPr>
        <w:t xml:space="preserve">G. Burkard </w:t>
      </w:r>
      <w:r w:rsidR="008B3408" w:rsidRPr="000130B4">
        <w:rPr>
          <w:i/>
          <w:lang w:val="en-CA"/>
        </w:rPr>
        <w:t>et al</w:t>
      </w:r>
      <w:r w:rsidR="008B3408" w:rsidRPr="008B3408">
        <w:rPr>
          <w:lang w:val="en-CA"/>
        </w:rPr>
        <w:t xml:space="preserve">., </w:t>
      </w:r>
      <w:r w:rsidR="008B3408" w:rsidRPr="000130B4">
        <w:rPr>
          <w:i/>
          <w:lang w:val="en-CA"/>
        </w:rPr>
        <w:t>Reviews of Modern Physics</w:t>
      </w:r>
      <w:r w:rsidR="008B3408" w:rsidRPr="008B3408">
        <w:rPr>
          <w:lang w:val="en-CA"/>
        </w:rPr>
        <w:t>, 95, 025003 (2023)</w:t>
      </w:r>
    </w:p>
    <w:p w14:paraId="77E00EC8" w14:textId="1C016DC3" w:rsidR="00CE11C9" w:rsidRDefault="00CE11C9" w:rsidP="007553E8">
      <w:pPr>
        <w:pStyle w:val="Reference"/>
        <w:rPr>
          <w:i/>
          <w:iCs/>
          <w:lang w:val="fr-FR"/>
        </w:rPr>
      </w:pPr>
      <w:r w:rsidRPr="000E0088">
        <w:rPr>
          <w:rFonts w:hint="eastAsia"/>
          <w:lang w:val="fr-FR"/>
        </w:rPr>
        <w:t xml:space="preserve">[2] </w:t>
      </w:r>
      <w:r w:rsidR="000130B4" w:rsidRPr="000130B4">
        <w:rPr>
          <w:iCs/>
          <w:lang w:val="fr-FR"/>
        </w:rPr>
        <w:t>A. Fowler</w:t>
      </w:r>
      <w:r w:rsidR="000130B4" w:rsidRPr="000130B4">
        <w:rPr>
          <w:i/>
          <w:iCs/>
          <w:lang w:val="fr-FR"/>
        </w:rPr>
        <w:t xml:space="preserve"> et al., Phys. Rev. A</w:t>
      </w:r>
      <w:r w:rsidR="00A4024B">
        <w:rPr>
          <w:i/>
          <w:iCs/>
          <w:lang w:val="fr-FR"/>
        </w:rPr>
        <w:t>,</w:t>
      </w:r>
      <w:r w:rsidR="000130B4" w:rsidRPr="000130B4">
        <w:rPr>
          <w:i/>
          <w:iCs/>
          <w:lang w:val="fr-FR"/>
        </w:rPr>
        <w:t xml:space="preserve"> </w:t>
      </w:r>
      <w:r w:rsidR="000130B4" w:rsidRPr="000130B4">
        <w:rPr>
          <w:lang w:val="en-CA"/>
        </w:rPr>
        <w:t>86, 032324 (2012)</w:t>
      </w:r>
    </w:p>
    <w:p w14:paraId="32C2DD4C" w14:textId="1018BB6C" w:rsidR="000130B4" w:rsidRDefault="000130B4" w:rsidP="007553E8">
      <w:pPr>
        <w:pStyle w:val="Reference"/>
        <w:rPr>
          <w:lang w:val="en-CA"/>
        </w:rPr>
      </w:pPr>
      <w:r w:rsidRPr="00A4024B">
        <w:rPr>
          <w:lang w:val="en-CA"/>
        </w:rPr>
        <w:t>[3] R. Maurand</w:t>
      </w:r>
      <w:r>
        <w:rPr>
          <w:i/>
          <w:iCs/>
          <w:lang w:val="fr-FR"/>
        </w:rPr>
        <w:t xml:space="preserve"> et al., Nat. Commun.</w:t>
      </w:r>
      <w:r w:rsidR="00A4024B">
        <w:rPr>
          <w:i/>
          <w:iCs/>
          <w:lang w:val="fr-FR"/>
        </w:rPr>
        <w:t>,</w:t>
      </w:r>
      <w:r>
        <w:rPr>
          <w:i/>
          <w:iCs/>
          <w:lang w:val="fr-FR"/>
        </w:rPr>
        <w:t xml:space="preserve"> </w:t>
      </w:r>
      <w:r w:rsidRPr="00A4024B">
        <w:rPr>
          <w:lang w:val="en-CA"/>
        </w:rPr>
        <w:t>7, 13575 (2016)</w:t>
      </w:r>
    </w:p>
    <w:p w14:paraId="1FDADF80" w14:textId="456F55E4" w:rsidR="00A4024B" w:rsidRDefault="00A4024B" w:rsidP="007553E8">
      <w:pPr>
        <w:pStyle w:val="Reference"/>
        <w:rPr>
          <w:lang w:val="fr-FR"/>
        </w:rPr>
      </w:pPr>
      <w:r w:rsidRPr="00A4024B">
        <w:rPr>
          <w:lang w:val="fr-FR"/>
        </w:rPr>
        <w:t xml:space="preserve">[4] T. Bédécarrats </w:t>
      </w:r>
      <w:r w:rsidRPr="00A4024B">
        <w:rPr>
          <w:i/>
          <w:lang w:val="fr-FR"/>
        </w:rPr>
        <w:t>et al</w:t>
      </w:r>
      <w:r w:rsidRPr="00A4024B">
        <w:rPr>
          <w:lang w:val="fr-FR"/>
        </w:rPr>
        <w:t xml:space="preserve">., </w:t>
      </w:r>
      <w:r w:rsidRPr="00A4024B">
        <w:rPr>
          <w:i/>
          <w:lang w:val="fr-FR"/>
        </w:rPr>
        <w:t>IEEE IEDM</w:t>
      </w:r>
      <w:r>
        <w:rPr>
          <w:lang w:val="fr-FR"/>
        </w:rPr>
        <w:t xml:space="preserve"> (2021)</w:t>
      </w:r>
    </w:p>
    <w:p w14:paraId="47B56DBA" w14:textId="70B2BFAC" w:rsidR="00224950" w:rsidRPr="000E0088" w:rsidRDefault="00A4024B" w:rsidP="00A4024B">
      <w:pPr>
        <w:pStyle w:val="Reference"/>
        <w:rPr>
          <w:lang w:val="fr-FR"/>
        </w:rPr>
      </w:pPr>
      <w:r>
        <w:rPr>
          <w:lang w:val="fr-FR"/>
        </w:rPr>
        <w:t xml:space="preserve">[5] B. Bertrand </w:t>
      </w:r>
      <w:r w:rsidRPr="00A4024B">
        <w:rPr>
          <w:i/>
          <w:lang w:val="fr-FR"/>
        </w:rPr>
        <w:t>et al</w:t>
      </w:r>
      <w:r>
        <w:rPr>
          <w:lang w:val="fr-FR"/>
        </w:rPr>
        <w:t xml:space="preserve">., </w:t>
      </w:r>
      <w:r w:rsidRPr="00A4024B">
        <w:rPr>
          <w:i/>
          <w:lang w:val="fr-FR"/>
        </w:rPr>
        <w:t>IEEE IEDM</w:t>
      </w:r>
      <w:r>
        <w:rPr>
          <w:lang w:val="fr-FR"/>
        </w:rPr>
        <w:t xml:space="preserve"> (2023</w:t>
      </w:r>
      <w:r>
        <w:rPr>
          <w:lang w:val="fr-FR"/>
        </w:rPr>
        <w:t>)</w:t>
      </w:r>
      <w:bookmarkStart w:id="0" w:name="_GoBack"/>
      <w:bookmarkEnd w:id="0"/>
    </w:p>
    <w:sectPr w:rsidR="00224950" w:rsidRPr="000E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CF76" w14:textId="77777777" w:rsidR="009658FC" w:rsidRDefault="009658FC" w:rsidP="00CE15CF">
      <w:pPr>
        <w:spacing w:after="0" w:line="240" w:lineRule="auto"/>
      </w:pPr>
      <w:r>
        <w:separator/>
      </w:r>
    </w:p>
  </w:endnote>
  <w:endnote w:type="continuationSeparator" w:id="0">
    <w:p w14:paraId="6B74DA37" w14:textId="77777777" w:rsidR="009658FC" w:rsidRDefault="009658F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CE82D" w14:textId="77777777" w:rsidR="009658FC" w:rsidRDefault="009658FC" w:rsidP="00CE15CF">
      <w:pPr>
        <w:spacing w:after="0" w:line="240" w:lineRule="auto"/>
      </w:pPr>
      <w:r>
        <w:separator/>
      </w:r>
    </w:p>
  </w:footnote>
  <w:footnote w:type="continuationSeparator" w:id="0">
    <w:p w14:paraId="323D6032" w14:textId="77777777" w:rsidR="009658FC" w:rsidRDefault="009658F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56"/>
    <w:rsid w:val="000130B4"/>
    <w:rsid w:val="00062E4E"/>
    <w:rsid w:val="000A0A49"/>
    <w:rsid w:val="000E0088"/>
    <w:rsid w:val="00192CFE"/>
    <w:rsid w:val="00196367"/>
    <w:rsid w:val="001E4F9A"/>
    <w:rsid w:val="0020181E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8B3408"/>
    <w:rsid w:val="009658FC"/>
    <w:rsid w:val="00A00D9F"/>
    <w:rsid w:val="00A322E1"/>
    <w:rsid w:val="00A4024B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640B0"/>
    <w:rsid w:val="00EA0133"/>
    <w:rsid w:val="00EE472A"/>
    <w:rsid w:val="00F30FBB"/>
    <w:rsid w:val="00F72151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Emphase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BERTRAND Benoit 250283</cp:lastModifiedBy>
  <cp:revision>3</cp:revision>
  <dcterms:created xsi:type="dcterms:W3CDTF">2024-09-05T08:17:00Z</dcterms:created>
  <dcterms:modified xsi:type="dcterms:W3CDTF">2024-09-05T11:58:00Z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