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FF35" w14:textId="77777777" w:rsidR="007405F2" w:rsidRDefault="007405F2" w:rsidP="007405F2">
      <w:pPr>
        <w:pStyle w:val="Title"/>
        <w:rPr>
          <w:lang w:val="de-DE"/>
        </w:rPr>
      </w:pPr>
      <w:proofErr w:type="spellStart"/>
      <w:r w:rsidRPr="007405F2">
        <w:rPr>
          <w:lang w:val="de-DE"/>
        </w:rPr>
        <w:t>Singlet</w:t>
      </w:r>
      <w:proofErr w:type="spellEnd"/>
      <w:r w:rsidRPr="007405F2">
        <w:rPr>
          <w:lang w:val="de-DE"/>
        </w:rPr>
        <w:t xml:space="preserve">-triplet and </w:t>
      </w:r>
      <w:proofErr w:type="spellStart"/>
      <w:r w:rsidRPr="007405F2">
        <w:rPr>
          <w:lang w:val="de-DE"/>
        </w:rPr>
        <w:t>exchange-only</w:t>
      </w:r>
      <w:proofErr w:type="spellEnd"/>
      <w:r w:rsidRPr="007405F2">
        <w:rPr>
          <w:lang w:val="de-DE"/>
        </w:rPr>
        <w:t xml:space="preserve"> </w:t>
      </w:r>
    </w:p>
    <w:p w14:paraId="0FB4B616" w14:textId="519B5C56" w:rsidR="00A8352C" w:rsidRPr="007405F2" w:rsidRDefault="007405F2" w:rsidP="007405F2">
      <w:pPr>
        <w:pStyle w:val="Title"/>
        <w:rPr>
          <w:lang w:val="de-DE"/>
        </w:rPr>
      </w:pPr>
      <w:proofErr w:type="spellStart"/>
      <w:r w:rsidRPr="007405F2">
        <w:rPr>
          <w:lang w:val="de-DE"/>
        </w:rPr>
        <w:t>flopping</w:t>
      </w:r>
      <w:proofErr w:type="spellEnd"/>
      <w:r w:rsidRPr="007405F2">
        <w:rPr>
          <w:lang w:val="de-DE"/>
        </w:rPr>
        <w:t xml:space="preserve">-mode </w:t>
      </w:r>
      <w:proofErr w:type="spellStart"/>
      <w:r>
        <w:rPr>
          <w:lang w:val="de-DE"/>
        </w:rPr>
        <w:t>spin</w:t>
      </w:r>
      <w:proofErr w:type="spellEnd"/>
      <w:r>
        <w:rPr>
          <w:lang w:val="de-DE"/>
        </w:rPr>
        <w:t xml:space="preserve"> </w:t>
      </w:r>
      <w:proofErr w:type="spellStart"/>
      <w:r w:rsidRPr="007405F2">
        <w:rPr>
          <w:lang w:val="de-DE"/>
        </w:rPr>
        <w:t>qubit</w:t>
      </w:r>
      <w:r>
        <w:rPr>
          <w:lang w:val="de-DE"/>
        </w:rPr>
        <w:t>s</w:t>
      </w:r>
      <w:proofErr w:type="spellEnd"/>
    </w:p>
    <w:p w14:paraId="4393ABC7" w14:textId="05BAED41" w:rsidR="00C77156" w:rsidRPr="00C77156" w:rsidRDefault="004F049A" w:rsidP="001E4F9A">
      <w:pPr>
        <w:pStyle w:val="Authorlist"/>
      </w:pPr>
      <w:r>
        <w:rPr>
          <w:lang w:val="en-US"/>
        </w:rPr>
        <w:br/>
      </w:r>
      <w:r w:rsidR="007405F2" w:rsidRPr="007405F2">
        <w:rPr>
          <w:lang w:val="de-DE"/>
        </w:rPr>
        <w:t xml:space="preserve">Simon </w:t>
      </w:r>
      <w:proofErr w:type="spellStart"/>
      <w:r w:rsidR="007405F2" w:rsidRPr="007405F2">
        <w:rPr>
          <w:lang w:val="de-DE"/>
        </w:rPr>
        <w:t>Stastny</w:t>
      </w:r>
      <w:proofErr w:type="spellEnd"/>
      <w:r w:rsidR="007405F2" w:rsidRPr="007405F2">
        <w:t xml:space="preserve"> </w:t>
      </w:r>
      <w:r w:rsidR="007405F2">
        <w:t xml:space="preserve">and </w:t>
      </w:r>
      <w:r w:rsidR="009204AA">
        <w:t>Guido Burkard</w:t>
      </w:r>
    </w:p>
    <w:p w14:paraId="1DD8B8BA" w14:textId="368F2D10" w:rsidR="00C77156" w:rsidRPr="00C77156" w:rsidRDefault="009204AA" w:rsidP="001E4F9A">
      <w:pPr>
        <w:pStyle w:val="Affiliation"/>
      </w:pPr>
      <w:r>
        <w:t>Department of Physics, University of Konstanz, Germany</w:t>
      </w:r>
    </w:p>
    <w:p w14:paraId="49373D7E" w14:textId="77777777" w:rsidR="00480AB4" w:rsidRDefault="00480AB4" w:rsidP="001E4F9A"/>
    <w:p w14:paraId="6C19D7D1" w14:textId="55E7C414" w:rsidR="007405F2" w:rsidRDefault="007405F2" w:rsidP="007405F2">
      <w:pPr>
        <w:jc w:val="both"/>
        <w:rPr>
          <w:lang w:val="en-US"/>
        </w:rPr>
      </w:pPr>
      <w:r w:rsidRPr="007405F2">
        <w:rPr>
          <w:lang w:val="en-US"/>
        </w:rPr>
        <w:t>Electron or hole spins in quantum dots coupled to a microwave cavity are an established platform to realize qubits. In the first part of this work</w:t>
      </w:r>
      <w:r>
        <w:rPr>
          <w:lang w:val="en-US"/>
        </w:rPr>
        <w:t>,</w:t>
      </w:r>
      <w:r w:rsidRPr="007405F2">
        <w:rPr>
          <w:lang w:val="en-US"/>
        </w:rPr>
        <w:t xml:space="preserve"> we combine the </w:t>
      </w:r>
      <m:oMath>
        <m:r>
          <w:rPr>
            <w:rFonts w:ascii="Cambria Math" w:hAnsi="Cambria Math"/>
            <w:lang w:val="de-DE"/>
          </w:rPr>
          <m:t>S</m:t>
        </m:r>
        <m:sSub>
          <m:sSubPr>
            <m:ctrlPr>
              <w:rPr>
                <w:rFonts w:ascii="Cambria Math" w:hAnsi="Cambria Math"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T</m:t>
            </m:r>
          </m:e>
          <m:sub>
            <m:r>
              <w:rPr>
                <w:rFonts w:ascii="Cambria Math" w:hAnsi="Cambria Math"/>
                <w:lang w:val="de-DE"/>
              </w:rPr>
              <m:t>0</m:t>
            </m:r>
          </m:sub>
        </m:sSub>
      </m:oMath>
      <w:r w:rsidRPr="007405F2">
        <w:rPr>
          <w:lang w:val="de-DE"/>
        </w:rPr>
        <w:t xml:space="preserve"> </w:t>
      </w:r>
      <w:r w:rsidRPr="007405F2">
        <w:rPr>
          <w:lang w:val="en-US"/>
        </w:rPr>
        <w:t>qubit</w:t>
      </w:r>
      <w:r>
        <w:rPr>
          <w:lang w:val="en-US"/>
        </w:rPr>
        <w:t xml:space="preserve"> </w:t>
      </w:r>
      <w:r w:rsidRPr="007405F2">
        <w:rPr>
          <w:lang w:val="en-US"/>
        </w:rPr>
        <w:t xml:space="preserve">[1,2] with the versatile flopping-mode </w:t>
      </w:r>
      <w:r>
        <w:rPr>
          <w:lang w:val="en-US"/>
        </w:rPr>
        <w:t xml:space="preserve">qubit </w:t>
      </w:r>
      <w:r w:rsidRPr="007405F2">
        <w:rPr>
          <w:lang w:val="en-US"/>
        </w:rPr>
        <w:t xml:space="preserve">[3,4] to achieve </w:t>
      </w:r>
      <w:r>
        <w:rPr>
          <w:lang w:val="en-US"/>
        </w:rPr>
        <w:t xml:space="preserve">a </w:t>
      </w:r>
      <w:r w:rsidRPr="007405F2">
        <w:rPr>
          <w:lang w:val="en-US"/>
        </w:rPr>
        <w:t xml:space="preserve">tunable coupling. We therefore introduce a spin qubit consisting of two electrons in three quantum dots in a magnetic field gradient. Tunnel couplings between the dots allow for an orbital degree of freedom. The system operates in the </w:t>
      </w:r>
      <m:oMath>
        <m:r>
          <w:rPr>
            <w:rFonts w:ascii="Cambria Math" w:hAnsi="Cambria Math"/>
            <w:lang w:val="de-DE"/>
          </w:rPr>
          <m:t>S</m:t>
        </m:r>
        <m:sSub>
          <m:sSubPr>
            <m:ctrlPr>
              <w:rPr>
                <w:rFonts w:ascii="Cambria Math" w:hAnsi="Cambria Math"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T</m:t>
            </m:r>
          </m:e>
          <m:sub>
            <m:r>
              <w:rPr>
                <w:rFonts w:ascii="Cambria Math" w:hAnsi="Cambria Math"/>
                <w:lang w:val="de-DE"/>
              </w:rPr>
              <m:t>0</m:t>
            </m:r>
          </m:sub>
        </m:sSub>
      </m:oMath>
      <w:r w:rsidRPr="007405F2">
        <w:rPr>
          <w:lang w:val="de-DE"/>
        </w:rPr>
        <w:t xml:space="preserve"> </w:t>
      </w:r>
      <w:r w:rsidRPr="007405F2">
        <w:rPr>
          <w:lang w:val="en-US"/>
        </w:rPr>
        <w:t xml:space="preserve">regime near the </w:t>
      </w:r>
      <m:oMath>
        <m:r>
          <w:rPr>
            <w:rFonts w:ascii="Cambria Math" w:hAnsi="Cambria Math"/>
            <w:lang w:val="de-DE"/>
          </w:rPr>
          <m:t>|1,0,1⟩↔|0,1,1⟩</m:t>
        </m:r>
      </m:oMath>
      <w:r w:rsidRPr="007405F2">
        <w:rPr>
          <w:lang w:val="en-US"/>
        </w:rPr>
        <w:t xml:space="preserve"> charge transition. We calculate the effective transversal and longitudinal spin-photon couplings in this regime and investigate them by observing the cavity transmission near the </w:t>
      </w:r>
      <w:proofErr w:type="spellStart"/>
      <w:r w:rsidRPr="007405F2">
        <w:rPr>
          <w:lang w:val="de-DE"/>
        </w:rPr>
        <w:t>qubit</w:t>
      </w:r>
      <w:proofErr w:type="spellEnd"/>
      <w:r w:rsidRPr="007405F2">
        <w:rPr>
          <w:lang w:val="de-DE"/>
        </w:rPr>
        <w:t xml:space="preserve"> </w:t>
      </w:r>
      <w:r w:rsidRPr="007405F2">
        <w:rPr>
          <w:lang w:val="en-US"/>
        </w:rPr>
        <w:t>resonance. In the second part of this work these</w:t>
      </w:r>
      <w:r w:rsidRPr="007405F2">
        <w:rPr>
          <w:lang w:val="de-DE"/>
        </w:rPr>
        <w:t xml:space="preserve"> </w:t>
      </w:r>
      <w:r w:rsidRPr="007405F2">
        <w:rPr>
          <w:lang w:val="en-US"/>
        </w:rPr>
        <w:t>calculations are extended to the exchange-only qubit which comprises four dots with three electrons.</w:t>
      </w:r>
    </w:p>
    <w:p w14:paraId="31015C7F" w14:textId="375A0430" w:rsidR="00D22257" w:rsidRDefault="00D22257" w:rsidP="007405F2">
      <w:pPr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69AFD" wp14:editId="61680E63">
                <wp:simplePos x="0" y="0"/>
                <wp:positionH relativeFrom="column">
                  <wp:posOffset>15875</wp:posOffset>
                </wp:positionH>
                <wp:positionV relativeFrom="paragraph">
                  <wp:posOffset>197322</wp:posOffset>
                </wp:positionV>
                <wp:extent cx="5728970" cy="1310640"/>
                <wp:effectExtent l="0" t="0" r="0" b="0"/>
                <wp:wrapNone/>
                <wp:docPr id="1609285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97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8A097" w14:textId="7F1DAC92" w:rsidR="007405F2" w:rsidRDefault="007405F2" w:rsidP="007405F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24C75" wp14:editId="659BDB48">
                                  <wp:extent cx="4584517" cy="1148715"/>
                                  <wp:effectExtent l="0" t="0" r="635" b="0"/>
                                  <wp:docPr id="1073741825" name="officeArt object" descr="pasted-movie-1855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5" name="officeArt object" descr="pasted-movie-18552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80674" cy="11728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3CC479" w14:textId="77777777" w:rsidR="007405F2" w:rsidRDefault="007405F2" w:rsidP="00740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69A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5pt;margin-top:15.55pt;width:451.1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" fillcolor="white [3201]" stroked="f" strokeweight=".5pt">
                <v:textbox>
                  <w:txbxContent>
                    <w:p w14:paraId="5AC8A097" w14:textId="7F1DAC92" w:rsidR="007405F2" w:rsidRDefault="007405F2" w:rsidP="007405F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24C75" wp14:editId="659BDB48">
                            <wp:extent cx="4584517" cy="1148715"/>
                            <wp:effectExtent l="0" t="0" r="635" b="0"/>
                            <wp:docPr id="1073741825" name="officeArt object" descr="pasted-movie-1855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5" name="officeArt object" descr="pasted-movie-18552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80674" cy="1172809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3CC479" w14:textId="77777777" w:rsidR="007405F2" w:rsidRDefault="007405F2" w:rsidP="007405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744288" w14:textId="2A795A64" w:rsidR="007405F2" w:rsidRDefault="007405F2" w:rsidP="007405F2">
      <w:pPr>
        <w:jc w:val="both"/>
        <w:rPr>
          <w:lang w:val="en-US"/>
        </w:rPr>
      </w:pPr>
    </w:p>
    <w:p w14:paraId="386E0940" w14:textId="390EC890" w:rsidR="007405F2" w:rsidRDefault="007405F2" w:rsidP="007405F2">
      <w:pPr>
        <w:jc w:val="both"/>
        <w:rPr>
          <w:lang w:val="en-US"/>
        </w:rPr>
      </w:pPr>
    </w:p>
    <w:p w14:paraId="0763B4EA" w14:textId="313CB00D" w:rsidR="007405F2" w:rsidRDefault="007405F2" w:rsidP="007405F2">
      <w:pPr>
        <w:jc w:val="both"/>
        <w:rPr>
          <w:lang w:val="en-US"/>
        </w:rPr>
      </w:pPr>
    </w:p>
    <w:p w14:paraId="45DB0472" w14:textId="02872A64" w:rsidR="007405F2" w:rsidRPr="007405F2" w:rsidRDefault="007405F2" w:rsidP="007405F2">
      <w:pPr>
        <w:jc w:val="both"/>
        <w:rPr>
          <w:lang w:val="en-US"/>
        </w:rPr>
      </w:pPr>
    </w:p>
    <w:p w14:paraId="6331E336" w14:textId="77777777" w:rsidR="007405F2" w:rsidRDefault="007405F2" w:rsidP="007405F2">
      <w:pPr>
        <w:pStyle w:val="Reference"/>
        <w:jc w:val="both"/>
        <w:rPr>
          <w:i/>
          <w:iCs/>
          <w:sz w:val="20"/>
          <w:szCs w:val="18"/>
        </w:rPr>
      </w:pPr>
    </w:p>
    <w:p w14:paraId="3513F633" w14:textId="2D70F531" w:rsidR="00546DF7" w:rsidRPr="007F5396" w:rsidRDefault="007405F2" w:rsidP="007405F2">
      <w:pPr>
        <w:pStyle w:val="Reference"/>
        <w:jc w:val="both"/>
        <w:rPr>
          <w:i/>
          <w:iCs/>
          <w:sz w:val="20"/>
          <w:szCs w:val="18"/>
          <w:lang w:val="de-DE"/>
        </w:rPr>
      </w:pPr>
      <w:r w:rsidRPr="007405F2">
        <w:rPr>
          <w:i/>
          <w:iCs/>
          <w:sz w:val="20"/>
          <w:szCs w:val="18"/>
        </w:rPr>
        <w:t xml:space="preserve">Figure 1, The </w:t>
      </w:r>
      <w:proofErr w:type="spellStart"/>
      <w:r w:rsidR="007F5396">
        <w:rPr>
          <w:i/>
          <w:iCs/>
          <w:sz w:val="20"/>
          <w:szCs w:val="18"/>
          <w:lang w:val="de-DE"/>
        </w:rPr>
        <w:t>s</w:t>
      </w:r>
      <w:r w:rsidR="007F5396" w:rsidRPr="007405F2">
        <w:rPr>
          <w:i/>
          <w:iCs/>
          <w:sz w:val="20"/>
          <w:szCs w:val="18"/>
          <w:lang w:val="de-DE"/>
        </w:rPr>
        <w:t>inglet</w:t>
      </w:r>
      <w:proofErr w:type="spellEnd"/>
      <w:r w:rsidR="007F5396" w:rsidRPr="007405F2">
        <w:rPr>
          <w:i/>
          <w:iCs/>
          <w:sz w:val="20"/>
          <w:szCs w:val="18"/>
          <w:lang w:val="de-DE"/>
        </w:rPr>
        <w:t xml:space="preserve">-triplet </w:t>
      </w:r>
      <w:proofErr w:type="spellStart"/>
      <w:r w:rsidR="007F5396" w:rsidRPr="007F5396">
        <w:rPr>
          <w:i/>
          <w:iCs/>
          <w:sz w:val="20"/>
          <w:szCs w:val="18"/>
          <w:lang w:val="de-DE"/>
        </w:rPr>
        <w:t>flopping</w:t>
      </w:r>
      <w:proofErr w:type="spellEnd"/>
      <w:r w:rsidR="007F5396" w:rsidRPr="007F5396">
        <w:rPr>
          <w:i/>
          <w:iCs/>
          <w:sz w:val="20"/>
          <w:szCs w:val="18"/>
          <w:lang w:val="de-DE"/>
        </w:rPr>
        <w:t xml:space="preserve">-mode </w:t>
      </w:r>
      <w:proofErr w:type="spellStart"/>
      <w:r w:rsidR="007F5396" w:rsidRPr="007F5396">
        <w:rPr>
          <w:i/>
          <w:iCs/>
          <w:sz w:val="20"/>
          <w:szCs w:val="18"/>
          <w:lang w:val="de-DE"/>
        </w:rPr>
        <w:t>spin</w:t>
      </w:r>
      <w:proofErr w:type="spellEnd"/>
      <w:r w:rsidR="007F5396" w:rsidRPr="007F5396">
        <w:rPr>
          <w:i/>
          <w:iCs/>
          <w:sz w:val="20"/>
          <w:szCs w:val="18"/>
          <w:lang w:val="de-DE"/>
        </w:rPr>
        <w:t xml:space="preserve"> </w:t>
      </w:r>
      <w:proofErr w:type="spellStart"/>
      <w:r w:rsidR="007F5396" w:rsidRPr="007F5396">
        <w:rPr>
          <w:i/>
          <w:iCs/>
          <w:sz w:val="20"/>
          <w:szCs w:val="18"/>
          <w:lang w:val="de-DE"/>
        </w:rPr>
        <w:t>qubit</w:t>
      </w:r>
      <w:proofErr w:type="spellEnd"/>
      <w:r w:rsidRPr="007405F2">
        <w:rPr>
          <w:i/>
          <w:iCs/>
          <w:sz w:val="20"/>
          <w:szCs w:val="18"/>
        </w:rPr>
        <w:t xml:space="preserve">. The two electrons can tunnel between three electrically </w:t>
      </w:r>
      <w:proofErr w:type="spellStart"/>
      <w:r w:rsidRPr="007405F2">
        <w:rPr>
          <w:i/>
          <w:iCs/>
          <w:sz w:val="20"/>
          <w:szCs w:val="18"/>
        </w:rPr>
        <w:t>tunable</w:t>
      </w:r>
      <w:proofErr w:type="spellEnd"/>
      <w:r w:rsidRPr="007405F2">
        <w:rPr>
          <w:i/>
          <w:iCs/>
          <w:sz w:val="20"/>
          <w:szCs w:val="18"/>
        </w:rPr>
        <w:t xml:space="preserve"> quantum dots. In the operating regime, the right dot is always occupied, so the tunnel coupling </w:t>
      </w:r>
      <w:proofErr w:type="spellStart"/>
      <w:r w:rsidRPr="007405F2">
        <w:rPr>
          <w:i/>
          <w:iCs/>
          <w:sz w:val="20"/>
          <w:szCs w:val="18"/>
        </w:rPr>
        <w:t>t</w:t>
      </w:r>
      <w:r w:rsidRPr="00057080">
        <w:rPr>
          <w:i/>
          <w:iCs/>
          <w:sz w:val="20"/>
          <w:szCs w:val="18"/>
          <w:vertAlign w:val="subscript"/>
        </w:rPr>
        <w:t>c</w:t>
      </w:r>
      <w:proofErr w:type="spellEnd"/>
      <w:r w:rsidRPr="007405F2">
        <w:rPr>
          <w:i/>
          <w:iCs/>
          <w:sz w:val="20"/>
          <w:szCs w:val="18"/>
        </w:rPr>
        <w:t xml:space="preserve"> couples the two effective charge states </w:t>
      </w:r>
      <w:r w:rsidRPr="00057080">
        <w:rPr>
          <w:sz w:val="20"/>
          <w:szCs w:val="18"/>
        </w:rPr>
        <w:t>|1,0,1</w:t>
      </w:r>
      <w:r w:rsidRPr="00057080">
        <w:rPr>
          <w:rFonts w:ascii="Cambria Math" w:hAnsi="Cambria Math" w:cs="Cambria Math"/>
          <w:sz w:val="20"/>
          <w:szCs w:val="18"/>
        </w:rPr>
        <w:t>⟩</w:t>
      </w:r>
      <w:r w:rsidRPr="007405F2">
        <w:rPr>
          <w:i/>
          <w:iCs/>
          <w:sz w:val="20"/>
          <w:szCs w:val="18"/>
        </w:rPr>
        <w:t xml:space="preserve"> and </w:t>
      </w:r>
      <w:r w:rsidRPr="00057080">
        <w:rPr>
          <w:sz w:val="20"/>
          <w:szCs w:val="18"/>
        </w:rPr>
        <w:t>|0,1,1</w:t>
      </w:r>
      <w:r w:rsidRPr="00057080">
        <w:rPr>
          <w:rFonts w:ascii="Cambria Math" w:hAnsi="Cambria Math" w:cs="Cambria Math"/>
          <w:sz w:val="20"/>
          <w:szCs w:val="18"/>
        </w:rPr>
        <w:t>⟩</w:t>
      </w:r>
      <w:r w:rsidRPr="007405F2">
        <w:rPr>
          <w:i/>
          <w:iCs/>
          <w:sz w:val="20"/>
          <w:szCs w:val="18"/>
        </w:rPr>
        <w:t xml:space="preserve">. The tunnel coupling between the </w:t>
      </w:r>
      <w:proofErr w:type="spellStart"/>
      <w:r w:rsidRPr="007405F2">
        <w:rPr>
          <w:i/>
          <w:iCs/>
          <w:sz w:val="20"/>
          <w:szCs w:val="18"/>
        </w:rPr>
        <w:t>center</w:t>
      </w:r>
      <w:proofErr w:type="spellEnd"/>
      <w:r w:rsidRPr="007405F2">
        <w:rPr>
          <w:i/>
          <w:iCs/>
          <w:sz w:val="20"/>
          <w:szCs w:val="18"/>
        </w:rPr>
        <w:t xml:space="preserve"> and right dot</w:t>
      </w:r>
      <w:r w:rsidR="00057080">
        <w:rPr>
          <w:i/>
          <w:iCs/>
          <w:sz w:val="20"/>
          <w:szCs w:val="18"/>
        </w:rPr>
        <w:t>s</w:t>
      </w:r>
      <w:r w:rsidRPr="007405F2">
        <w:rPr>
          <w:i/>
          <w:iCs/>
          <w:sz w:val="20"/>
          <w:szCs w:val="18"/>
        </w:rPr>
        <w:t xml:space="preserve"> contributes to the exchange interaction parameter J. Magnetic fields in the z-direction with site dependent magnitude at each dot lead to Zeeman splitting, separating the polarized triplets from the </w:t>
      </w:r>
      <m:oMath>
        <m:r>
          <w:rPr>
            <w:rFonts w:ascii="Cambria Math" w:hAnsi="Cambria Math"/>
            <w:lang w:val="de-DE"/>
          </w:rPr>
          <m:t>S</m:t>
        </m:r>
        <m:sSub>
          <m:sSubPr>
            <m:ctrlPr>
              <w:rPr>
                <w:rFonts w:ascii="Cambria Math" w:hAnsi="Cambria Math"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T</m:t>
            </m:r>
          </m:e>
          <m:sub>
            <m:r>
              <w:rPr>
                <w:rFonts w:ascii="Cambria Math" w:hAnsi="Cambria Math"/>
                <w:lang w:val="de-DE"/>
              </w:rPr>
              <m:t>0</m:t>
            </m:r>
          </m:sub>
        </m:sSub>
      </m:oMath>
      <w:r w:rsidRPr="007405F2">
        <w:rPr>
          <w:i/>
          <w:iCs/>
          <w:sz w:val="20"/>
          <w:szCs w:val="18"/>
        </w:rPr>
        <w:t xml:space="preserve"> operating regime.</w:t>
      </w:r>
    </w:p>
    <w:p w14:paraId="3C89D5A3" w14:textId="77777777" w:rsidR="007405F2" w:rsidRDefault="007405F2" w:rsidP="007553E8">
      <w:pPr>
        <w:pStyle w:val="Reference"/>
        <w:rPr>
          <w:lang w:val="en-US"/>
        </w:rPr>
      </w:pPr>
    </w:p>
    <w:p w14:paraId="4571F350" w14:textId="77777777" w:rsidR="00CD4C7B" w:rsidRDefault="00CD4C7B" w:rsidP="007553E8">
      <w:pPr>
        <w:pStyle w:val="Reference"/>
        <w:rPr>
          <w:lang w:val="en-US"/>
        </w:rPr>
      </w:pPr>
    </w:p>
    <w:p w14:paraId="27F86608" w14:textId="77777777" w:rsidR="007405F2" w:rsidRPr="009D2856" w:rsidRDefault="007405F2" w:rsidP="007553E8">
      <w:pPr>
        <w:pStyle w:val="Reference"/>
        <w:rPr>
          <w:lang w:val="en-US"/>
        </w:rPr>
      </w:pPr>
    </w:p>
    <w:p w14:paraId="6CFC9973" w14:textId="2653FB3F" w:rsidR="007405F2" w:rsidRPr="007405F2" w:rsidRDefault="007405F2" w:rsidP="007405F2">
      <w:pPr>
        <w:pStyle w:val="Reference"/>
        <w:rPr>
          <w:lang w:val="de-DE"/>
        </w:rPr>
      </w:pPr>
      <w:r w:rsidRPr="007405F2">
        <w:rPr>
          <w:lang w:val="de-DE"/>
        </w:rPr>
        <w:t xml:space="preserve">[1] </w:t>
      </w:r>
      <w:r w:rsidR="006973B6">
        <w:rPr>
          <w:lang w:val="de-DE"/>
        </w:rPr>
        <w:t xml:space="preserve">J. R. </w:t>
      </w:r>
      <w:proofErr w:type="spellStart"/>
      <w:r w:rsidRPr="007405F2">
        <w:rPr>
          <w:lang w:val="de-DE"/>
        </w:rPr>
        <w:t>Pet</w:t>
      </w:r>
      <w:r>
        <w:rPr>
          <w:lang w:val="de-DE"/>
        </w:rPr>
        <w:t>t</w:t>
      </w:r>
      <w:r w:rsidRPr="007405F2">
        <w:rPr>
          <w:lang w:val="de-DE"/>
        </w:rPr>
        <w:t>a</w:t>
      </w:r>
      <w:proofErr w:type="spellEnd"/>
      <w:r w:rsidRPr="007405F2">
        <w:rPr>
          <w:lang w:val="de-DE"/>
        </w:rPr>
        <w:t xml:space="preserve"> </w:t>
      </w:r>
      <w:r w:rsidRPr="007405F2">
        <w:rPr>
          <w:i/>
          <w:iCs/>
          <w:lang w:val="de-DE"/>
        </w:rPr>
        <w:t>et al.</w:t>
      </w:r>
      <w:r w:rsidRPr="007405F2">
        <w:rPr>
          <w:lang w:val="de-DE"/>
        </w:rPr>
        <w:t>, Science</w:t>
      </w:r>
      <w:r w:rsidR="00CC157B" w:rsidRPr="00CC157B">
        <w:rPr>
          <w:rFonts w:ascii="Roboto" w:hAnsi="Roboto"/>
          <w:b/>
          <w:bCs/>
          <w:color w:val="595959"/>
          <w:sz w:val="21"/>
          <w:szCs w:val="21"/>
        </w:rPr>
        <w:t xml:space="preserve"> </w:t>
      </w:r>
      <w:r w:rsidR="00CC157B" w:rsidRPr="00CC157B">
        <w:rPr>
          <w:b/>
          <w:bCs/>
          <w:i/>
          <w:iCs/>
        </w:rPr>
        <w:t>309</w:t>
      </w:r>
      <w:r w:rsidR="00CC157B" w:rsidRPr="00CC157B">
        <w:rPr>
          <w:i/>
          <w:iCs/>
        </w:rPr>
        <w:t>,</w:t>
      </w:r>
      <w:r w:rsidR="00CC157B" w:rsidRPr="006973B6">
        <w:t>2180</w:t>
      </w:r>
      <w:r w:rsidR="00CC157B" w:rsidRPr="006973B6">
        <w:t xml:space="preserve"> </w:t>
      </w:r>
      <w:r w:rsidR="00CC157B" w:rsidRPr="006973B6">
        <w:t>(2005)</w:t>
      </w:r>
    </w:p>
    <w:p w14:paraId="3197C67E" w14:textId="56A1C99D" w:rsidR="007405F2" w:rsidRPr="007405F2" w:rsidRDefault="007405F2" w:rsidP="007405F2">
      <w:pPr>
        <w:pStyle w:val="Reference"/>
        <w:rPr>
          <w:i/>
          <w:iCs/>
          <w:lang w:val="en-US"/>
        </w:rPr>
      </w:pPr>
      <w:r w:rsidRPr="007405F2">
        <w:rPr>
          <w:lang w:val="de-DE"/>
        </w:rPr>
        <w:t xml:space="preserve">[2] </w:t>
      </w:r>
      <w:r w:rsidR="006973B6">
        <w:rPr>
          <w:lang w:val="de-DE"/>
        </w:rPr>
        <w:t xml:space="preserve">J. </w:t>
      </w:r>
      <w:r w:rsidRPr="007405F2">
        <w:rPr>
          <w:lang w:val="de-DE"/>
        </w:rPr>
        <w:t xml:space="preserve">Levy, Phys. Rev. Lett. </w:t>
      </w:r>
      <w:r w:rsidR="00CC157B" w:rsidRPr="006973B6">
        <w:rPr>
          <w:b/>
          <w:bCs/>
          <w:lang w:val="en-US"/>
        </w:rPr>
        <w:t>89</w:t>
      </w:r>
      <w:r w:rsidR="00CC157B" w:rsidRPr="006973B6">
        <w:rPr>
          <w:lang w:val="en-US"/>
        </w:rPr>
        <w:t>, 147902 </w:t>
      </w:r>
      <w:r w:rsidRPr="007405F2">
        <w:rPr>
          <w:lang w:val="de-DE"/>
        </w:rPr>
        <w:t>(2002)</w:t>
      </w:r>
    </w:p>
    <w:p w14:paraId="26A6910A" w14:textId="3A403136" w:rsidR="007405F2" w:rsidRPr="007405F2" w:rsidRDefault="007405F2" w:rsidP="007405F2">
      <w:pPr>
        <w:pStyle w:val="Reference"/>
        <w:rPr>
          <w:lang w:val="en-US"/>
        </w:rPr>
      </w:pPr>
      <w:r w:rsidRPr="007405F2">
        <w:rPr>
          <w:lang w:val="en-US"/>
        </w:rPr>
        <w:t>[</w:t>
      </w:r>
      <w:r w:rsidRPr="007405F2">
        <w:rPr>
          <w:lang w:val="de-DE"/>
        </w:rPr>
        <w:t>3</w:t>
      </w:r>
      <w:r w:rsidRPr="007405F2">
        <w:rPr>
          <w:lang w:val="en-US"/>
        </w:rPr>
        <w:t xml:space="preserve">] </w:t>
      </w:r>
      <w:r w:rsidR="006973B6" w:rsidRPr="006973B6">
        <w:rPr>
          <w:lang w:val="en-US"/>
        </w:rPr>
        <w:t xml:space="preserve">M. Benito, J. R. </w:t>
      </w:r>
      <w:proofErr w:type="spellStart"/>
      <w:r w:rsidR="006973B6" w:rsidRPr="006973B6">
        <w:rPr>
          <w:lang w:val="en-US"/>
        </w:rPr>
        <w:t>Petta</w:t>
      </w:r>
      <w:proofErr w:type="spellEnd"/>
      <w:r w:rsidR="006973B6" w:rsidRPr="006973B6">
        <w:rPr>
          <w:lang w:val="en-US"/>
        </w:rPr>
        <w:t xml:space="preserve">, and </w:t>
      </w:r>
      <w:r w:rsidR="006973B6">
        <w:rPr>
          <w:lang w:val="en-US"/>
        </w:rPr>
        <w:t>G.</w:t>
      </w:r>
      <w:r w:rsidR="006973B6" w:rsidRPr="006973B6">
        <w:rPr>
          <w:lang w:val="en-US"/>
        </w:rPr>
        <w:t xml:space="preserve"> Burkard</w:t>
      </w:r>
      <w:r w:rsidR="006973B6">
        <w:rPr>
          <w:lang w:val="en-US"/>
        </w:rPr>
        <w:t xml:space="preserve">, </w:t>
      </w:r>
      <w:r w:rsidR="006973B6" w:rsidRPr="006973B6">
        <w:rPr>
          <w:lang w:val="en-US"/>
        </w:rPr>
        <w:t>Phys. Rev. B </w:t>
      </w:r>
      <w:r w:rsidR="006973B6" w:rsidRPr="006973B6">
        <w:rPr>
          <w:b/>
          <w:bCs/>
          <w:lang w:val="en-US"/>
        </w:rPr>
        <w:t>100</w:t>
      </w:r>
      <w:r w:rsidR="006973B6" w:rsidRPr="006973B6">
        <w:rPr>
          <w:lang w:val="en-US"/>
        </w:rPr>
        <w:t>, 081412 </w:t>
      </w:r>
      <w:r w:rsidRPr="007405F2">
        <w:rPr>
          <w:lang w:val="de-DE"/>
        </w:rPr>
        <w:t>(2019)</w:t>
      </w:r>
    </w:p>
    <w:p w14:paraId="5F16E820" w14:textId="07CAAFC5" w:rsidR="007405F2" w:rsidRPr="007405F2" w:rsidRDefault="007405F2" w:rsidP="007405F2">
      <w:pPr>
        <w:pStyle w:val="Reference"/>
        <w:rPr>
          <w:lang w:val="en-US"/>
        </w:rPr>
      </w:pPr>
      <w:r w:rsidRPr="007405F2">
        <w:rPr>
          <w:lang w:val="en-US"/>
        </w:rPr>
        <w:t>[</w:t>
      </w:r>
      <w:r w:rsidRPr="007405F2">
        <w:rPr>
          <w:lang w:val="de-DE"/>
        </w:rPr>
        <w:t>4</w:t>
      </w:r>
      <w:r w:rsidRPr="007405F2">
        <w:rPr>
          <w:lang w:val="en-US"/>
        </w:rPr>
        <w:t xml:space="preserve">] </w:t>
      </w:r>
      <w:r w:rsidR="006973B6">
        <w:rPr>
          <w:lang w:val="en-US"/>
        </w:rPr>
        <w:t xml:space="preserve">X. </w:t>
      </w:r>
      <w:proofErr w:type="spellStart"/>
      <w:r w:rsidRPr="007405F2">
        <w:rPr>
          <w:lang w:val="de-DE"/>
        </w:rPr>
        <w:t>Croot</w:t>
      </w:r>
      <w:proofErr w:type="spellEnd"/>
      <w:r w:rsidRPr="007405F2">
        <w:rPr>
          <w:lang w:val="de-DE"/>
        </w:rPr>
        <w:t xml:space="preserve"> </w:t>
      </w:r>
      <w:r w:rsidRPr="007405F2">
        <w:rPr>
          <w:i/>
          <w:iCs/>
          <w:lang w:val="de-DE"/>
        </w:rPr>
        <w:t>et al.</w:t>
      </w:r>
      <w:r w:rsidRPr="007405F2">
        <w:rPr>
          <w:lang w:val="de-DE"/>
        </w:rPr>
        <w:t xml:space="preserve">, Phys. Rev. Res. </w:t>
      </w:r>
      <w:r w:rsidR="006973B6" w:rsidRPr="006973B6">
        <w:rPr>
          <w:b/>
          <w:bCs/>
          <w:lang w:val="en-US"/>
        </w:rPr>
        <w:t>2</w:t>
      </w:r>
      <w:r w:rsidR="006973B6" w:rsidRPr="006973B6">
        <w:rPr>
          <w:lang w:val="en-US"/>
        </w:rPr>
        <w:t>, 012006 </w:t>
      </w:r>
      <w:r w:rsidRPr="007405F2">
        <w:rPr>
          <w:lang w:val="de-DE"/>
        </w:rPr>
        <w:t>(2020)</w:t>
      </w:r>
    </w:p>
    <w:p w14:paraId="47B56DBA" w14:textId="70C5BD50" w:rsidR="00224950" w:rsidRPr="00546DF7" w:rsidRDefault="00224950" w:rsidP="007405F2">
      <w:pPr>
        <w:pStyle w:val="Reference"/>
        <w:rPr>
          <w:lang w:val="en-US"/>
        </w:rPr>
      </w:pPr>
    </w:p>
    <w:sectPr w:rsidR="00224950" w:rsidRPr="00546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92C3" w14:textId="77777777" w:rsidR="00CB7780" w:rsidRDefault="00CB7780" w:rsidP="00CE15CF">
      <w:pPr>
        <w:spacing w:after="0" w:line="240" w:lineRule="auto"/>
      </w:pPr>
      <w:r>
        <w:separator/>
      </w:r>
    </w:p>
  </w:endnote>
  <w:endnote w:type="continuationSeparator" w:id="0">
    <w:p w14:paraId="6ADC9040" w14:textId="77777777" w:rsidR="00CB7780" w:rsidRDefault="00CB7780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9D32" w14:textId="77777777" w:rsidR="00CB7780" w:rsidRDefault="00CB7780" w:rsidP="00CE15CF">
      <w:pPr>
        <w:spacing w:after="0" w:line="240" w:lineRule="auto"/>
      </w:pPr>
      <w:r>
        <w:separator/>
      </w:r>
    </w:p>
  </w:footnote>
  <w:footnote w:type="continuationSeparator" w:id="0">
    <w:p w14:paraId="3BF8EE92" w14:textId="77777777" w:rsidR="00CB7780" w:rsidRDefault="00CB7780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32DF1"/>
    <w:rsid w:val="00057080"/>
    <w:rsid w:val="00062E4E"/>
    <w:rsid w:val="001310E2"/>
    <w:rsid w:val="00192CFE"/>
    <w:rsid w:val="00196367"/>
    <w:rsid w:val="001E4F9A"/>
    <w:rsid w:val="00224950"/>
    <w:rsid w:val="00310969"/>
    <w:rsid w:val="00354FC6"/>
    <w:rsid w:val="003A059B"/>
    <w:rsid w:val="003B5A75"/>
    <w:rsid w:val="00444BDD"/>
    <w:rsid w:val="00480AB4"/>
    <w:rsid w:val="004C18D2"/>
    <w:rsid w:val="004F049A"/>
    <w:rsid w:val="004F5AA4"/>
    <w:rsid w:val="00514895"/>
    <w:rsid w:val="00546DF7"/>
    <w:rsid w:val="00573209"/>
    <w:rsid w:val="0069213C"/>
    <w:rsid w:val="00694951"/>
    <w:rsid w:val="006973B6"/>
    <w:rsid w:val="006B13A6"/>
    <w:rsid w:val="006F21E1"/>
    <w:rsid w:val="007405F2"/>
    <w:rsid w:val="00751E64"/>
    <w:rsid w:val="007553E8"/>
    <w:rsid w:val="007B47C9"/>
    <w:rsid w:val="007E4C77"/>
    <w:rsid w:val="007F5396"/>
    <w:rsid w:val="00827DAE"/>
    <w:rsid w:val="008525C0"/>
    <w:rsid w:val="008943A7"/>
    <w:rsid w:val="008F2AC8"/>
    <w:rsid w:val="009204AA"/>
    <w:rsid w:val="009360D2"/>
    <w:rsid w:val="009D2856"/>
    <w:rsid w:val="00A00D9F"/>
    <w:rsid w:val="00A01386"/>
    <w:rsid w:val="00A322E1"/>
    <w:rsid w:val="00A50716"/>
    <w:rsid w:val="00A8352C"/>
    <w:rsid w:val="00AC7590"/>
    <w:rsid w:val="00AE30CA"/>
    <w:rsid w:val="00AE43D2"/>
    <w:rsid w:val="00B072BD"/>
    <w:rsid w:val="00B23CA0"/>
    <w:rsid w:val="00B24FDF"/>
    <w:rsid w:val="00B56A23"/>
    <w:rsid w:val="00BA4C5D"/>
    <w:rsid w:val="00C06AC6"/>
    <w:rsid w:val="00C13745"/>
    <w:rsid w:val="00C336DA"/>
    <w:rsid w:val="00C77156"/>
    <w:rsid w:val="00CB01E2"/>
    <w:rsid w:val="00CB7780"/>
    <w:rsid w:val="00CC157B"/>
    <w:rsid w:val="00CD4C7B"/>
    <w:rsid w:val="00CE11C9"/>
    <w:rsid w:val="00CE15CF"/>
    <w:rsid w:val="00D0291D"/>
    <w:rsid w:val="00D22257"/>
    <w:rsid w:val="00DA4CCB"/>
    <w:rsid w:val="00E05389"/>
    <w:rsid w:val="00E815D9"/>
    <w:rsid w:val="00EA0133"/>
    <w:rsid w:val="00EE472A"/>
    <w:rsid w:val="00F24393"/>
    <w:rsid w:val="00F30FBB"/>
    <w:rsid w:val="00F72151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204A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Guido Burkard</cp:lastModifiedBy>
  <cp:revision>3</cp:revision>
  <cp:lastPrinted>2024-08-15T15:08:00Z</cp:lastPrinted>
  <dcterms:created xsi:type="dcterms:W3CDTF">2024-09-12T18:42:00Z</dcterms:created>
  <dcterms:modified xsi:type="dcterms:W3CDTF">2024-09-12T18:42:00Z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