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BDE54" w14:textId="77777777" w:rsidR="00635F00" w:rsidRPr="00635F00" w:rsidRDefault="00635F00" w:rsidP="003272D9">
      <w:pPr>
        <w:spacing w:after="80"/>
        <w:jc w:val="center"/>
        <w:rPr>
          <w:rFonts w:eastAsiaTheme="minorHAnsi"/>
          <w:sz w:val="40"/>
          <w:szCs w:val="40"/>
          <w:lang w:eastAsia="en-US"/>
        </w:rPr>
      </w:pPr>
      <w:r w:rsidRPr="00635F00">
        <w:rPr>
          <w:rFonts w:eastAsiaTheme="minorHAnsi"/>
          <w:sz w:val="40"/>
          <w:szCs w:val="40"/>
          <w:lang w:eastAsia="en-US"/>
        </w:rPr>
        <w:t>Entangling electrons and nuclei in a four-qubit, two-atom device in silicon</w:t>
      </w:r>
    </w:p>
    <w:p w14:paraId="721E78DC" w14:textId="79153F3E" w:rsidR="00DC513D" w:rsidRPr="001F326C" w:rsidRDefault="00DC513D" w:rsidP="00AD5AB1">
      <w:pPr>
        <w:autoSpaceDE w:val="0"/>
        <w:autoSpaceDN w:val="0"/>
        <w:adjustRightInd w:val="0"/>
        <w:spacing w:line="240" w:lineRule="auto"/>
        <w:jc w:val="center"/>
        <w:rPr>
          <w:kern w:val="0"/>
        </w:rPr>
      </w:pPr>
      <w:r w:rsidRPr="001F326C">
        <w:rPr>
          <w:kern w:val="0"/>
        </w:rPr>
        <w:t>Holly G. Stemp</w:t>
      </w:r>
      <w:r w:rsidRPr="001F326C">
        <w:rPr>
          <w:kern w:val="0"/>
          <w:vertAlign w:val="superscript"/>
        </w:rPr>
        <w:t>1,2</w:t>
      </w:r>
      <w:r w:rsidRPr="001F326C">
        <w:rPr>
          <w:kern w:val="0"/>
        </w:rPr>
        <w:t>, M. R. van Blankenstein</w:t>
      </w:r>
      <w:r w:rsidRPr="001F326C">
        <w:rPr>
          <w:kern w:val="0"/>
          <w:vertAlign w:val="superscript"/>
        </w:rPr>
        <w:t>1,2</w:t>
      </w:r>
      <w:r w:rsidRPr="001F326C">
        <w:rPr>
          <w:kern w:val="0"/>
        </w:rPr>
        <w:t xml:space="preserve">, </w:t>
      </w:r>
      <w:r w:rsidR="00821581" w:rsidRPr="001F326C">
        <w:rPr>
          <w:kern w:val="0"/>
        </w:rPr>
        <w:t>A Vaartjes</w:t>
      </w:r>
      <w:r w:rsidR="00821581" w:rsidRPr="001F326C">
        <w:rPr>
          <w:kern w:val="0"/>
          <w:vertAlign w:val="superscript"/>
        </w:rPr>
        <w:t>1,2</w:t>
      </w:r>
      <w:r w:rsidR="00821581" w:rsidRPr="001F326C">
        <w:t xml:space="preserve">, </w:t>
      </w:r>
      <w:r w:rsidRPr="001F326C">
        <w:rPr>
          <w:kern w:val="0"/>
        </w:rPr>
        <w:t>S. Asaad</w:t>
      </w:r>
      <w:r w:rsidRPr="001F326C">
        <w:rPr>
          <w:kern w:val="0"/>
          <w:vertAlign w:val="superscript"/>
        </w:rPr>
        <w:t>1,2</w:t>
      </w:r>
      <w:r w:rsidRPr="001F326C">
        <w:rPr>
          <w:kern w:val="0"/>
        </w:rPr>
        <w:t>,</w:t>
      </w:r>
      <w:r w:rsidR="00046682" w:rsidRPr="001F326C">
        <w:rPr>
          <w:kern w:val="0"/>
        </w:rPr>
        <w:t xml:space="preserve"> </w:t>
      </w:r>
      <w:r w:rsidR="008B7115" w:rsidRPr="001F326C">
        <w:rPr>
          <w:kern w:val="0"/>
        </w:rPr>
        <w:t>M</w:t>
      </w:r>
      <w:r w:rsidR="00AD5AB1">
        <w:rPr>
          <w:kern w:val="0"/>
        </w:rPr>
        <w:t>.</w:t>
      </w:r>
      <w:r w:rsidR="008B7115" w:rsidRPr="001F326C">
        <w:rPr>
          <w:kern w:val="0"/>
        </w:rPr>
        <w:t xml:space="preserve"> A. I. Johnson</w:t>
      </w:r>
      <w:r w:rsidR="008B7115" w:rsidRPr="001F326C">
        <w:rPr>
          <w:kern w:val="0"/>
          <w:vertAlign w:val="superscript"/>
        </w:rPr>
        <w:t>1,2</w:t>
      </w:r>
      <w:r w:rsidR="008B7115" w:rsidRPr="001F326C">
        <w:rPr>
          <w:kern w:val="0"/>
        </w:rPr>
        <w:t xml:space="preserve">, </w:t>
      </w:r>
      <w:r w:rsidRPr="001F326C">
        <w:rPr>
          <w:kern w:val="0"/>
        </w:rPr>
        <w:t>M. T. Madzik</w:t>
      </w:r>
      <w:r w:rsidRPr="001F326C">
        <w:rPr>
          <w:kern w:val="0"/>
          <w:vertAlign w:val="superscript"/>
        </w:rPr>
        <w:t>1,2</w:t>
      </w:r>
      <w:r w:rsidR="008B7115" w:rsidRPr="001F326C">
        <w:rPr>
          <w:kern w:val="0"/>
        </w:rPr>
        <w:t>,</w:t>
      </w:r>
      <w:r w:rsidR="008858ED" w:rsidRPr="001F326C">
        <w:t xml:space="preserve"> </w:t>
      </w:r>
      <w:r w:rsidR="008858ED" w:rsidRPr="001F326C">
        <w:rPr>
          <w:kern w:val="0"/>
        </w:rPr>
        <w:t>A</w:t>
      </w:r>
      <w:r w:rsidR="00AD5AB1">
        <w:rPr>
          <w:kern w:val="0"/>
        </w:rPr>
        <w:t xml:space="preserve">. </w:t>
      </w:r>
      <w:r w:rsidR="008858ED" w:rsidRPr="001F326C">
        <w:rPr>
          <w:kern w:val="0"/>
        </w:rPr>
        <w:t>J. A. Heskes</w:t>
      </w:r>
      <w:r w:rsidR="008858ED" w:rsidRPr="001F326C">
        <w:rPr>
          <w:kern w:val="0"/>
          <w:vertAlign w:val="superscript"/>
        </w:rPr>
        <w:t>1,2</w:t>
      </w:r>
      <w:r w:rsidR="008858ED" w:rsidRPr="001F326C">
        <w:rPr>
          <w:kern w:val="0"/>
        </w:rPr>
        <w:t>,</w:t>
      </w:r>
      <w:r w:rsidR="008858ED" w:rsidRPr="001F326C">
        <w:rPr>
          <w:kern w:val="0"/>
        </w:rPr>
        <w:t xml:space="preserve"> H</w:t>
      </w:r>
      <w:r w:rsidR="008858ED" w:rsidRPr="001F326C">
        <w:rPr>
          <w:kern w:val="0"/>
        </w:rPr>
        <w:t>.</w:t>
      </w:r>
      <w:r w:rsidR="008858ED" w:rsidRPr="001F326C">
        <w:rPr>
          <w:kern w:val="0"/>
        </w:rPr>
        <w:t xml:space="preserve"> R. Firgau</w:t>
      </w:r>
      <w:r w:rsidR="008858ED" w:rsidRPr="001F326C">
        <w:rPr>
          <w:kern w:val="0"/>
          <w:vertAlign w:val="superscript"/>
        </w:rPr>
        <w:t>1,2</w:t>
      </w:r>
      <w:r w:rsidR="008858ED" w:rsidRPr="001F326C">
        <w:rPr>
          <w:kern w:val="0"/>
        </w:rPr>
        <w:t xml:space="preserve">, </w:t>
      </w:r>
      <w:r w:rsidR="008858ED" w:rsidRPr="001F326C">
        <w:rPr>
          <w:kern w:val="0"/>
        </w:rPr>
        <w:t>R.</w:t>
      </w:r>
      <w:r w:rsidR="008858ED" w:rsidRPr="001F326C">
        <w:rPr>
          <w:kern w:val="0"/>
        </w:rPr>
        <w:t xml:space="preserve"> Y. Su</w:t>
      </w:r>
      <w:r w:rsidR="008858ED" w:rsidRPr="001F326C">
        <w:rPr>
          <w:kern w:val="0"/>
          <w:vertAlign w:val="superscript"/>
        </w:rPr>
        <w:t>1</w:t>
      </w:r>
      <w:r w:rsidR="008858ED" w:rsidRPr="001F326C">
        <w:rPr>
          <w:kern w:val="0"/>
        </w:rPr>
        <w:t>, C</w:t>
      </w:r>
      <w:r w:rsidR="008858ED" w:rsidRPr="001F326C">
        <w:rPr>
          <w:kern w:val="0"/>
        </w:rPr>
        <w:t>.</w:t>
      </w:r>
      <w:r w:rsidR="008858ED" w:rsidRPr="001F326C">
        <w:rPr>
          <w:kern w:val="0"/>
        </w:rPr>
        <w:t xml:space="preserve"> H</w:t>
      </w:r>
      <w:r w:rsidR="008858ED" w:rsidRPr="001F326C">
        <w:rPr>
          <w:kern w:val="0"/>
        </w:rPr>
        <w:t xml:space="preserve">. </w:t>
      </w:r>
      <w:r w:rsidR="008858ED" w:rsidRPr="001F326C">
        <w:rPr>
          <w:kern w:val="0"/>
        </w:rPr>
        <w:t>Yang</w:t>
      </w:r>
      <w:r w:rsidR="008858ED" w:rsidRPr="001F326C">
        <w:rPr>
          <w:kern w:val="0"/>
          <w:vertAlign w:val="superscript"/>
        </w:rPr>
        <w:t>1</w:t>
      </w:r>
      <w:r w:rsidR="008858ED" w:rsidRPr="001F326C">
        <w:rPr>
          <w:kern w:val="0"/>
        </w:rPr>
        <w:t>,</w:t>
      </w:r>
      <w:r w:rsidR="008B7115" w:rsidRPr="001F326C">
        <w:rPr>
          <w:kern w:val="0"/>
        </w:rPr>
        <w:t xml:space="preserve"> </w:t>
      </w:r>
      <w:r w:rsidRPr="001F326C">
        <w:rPr>
          <w:kern w:val="0"/>
        </w:rPr>
        <w:t>A. Laucht</w:t>
      </w:r>
      <w:r w:rsidRPr="001F326C">
        <w:rPr>
          <w:kern w:val="0"/>
          <w:vertAlign w:val="superscript"/>
        </w:rPr>
        <w:t>1,2,3</w:t>
      </w:r>
      <w:r w:rsidRPr="001F326C">
        <w:rPr>
          <w:kern w:val="0"/>
        </w:rPr>
        <w:t>, F. E. Hudson</w:t>
      </w:r>
      <w:r w:rsidRPr="001F326C">
        <w:rPr>
          <w:kern w:val="0"/>
          <w:vertAlign w:val="superscript"/>
        </w:rPr>
        <w:t>1,2,3</w:t>
      </w:r>
      <w:r w:rsidRPr="001F326C">
        <w:rPr>
          <w:kern w:val="0"/>
        </w:rPr>
        <w:t>, A. S. Dzurak</w:t>
      </w:r>
      <w:r w:rsidRPr="001F326C">
        <w:rPr>
          <w:kern w:val="0"/>
          <w:vertAlign w:val="superscript"/>
        </w:rPr>
        <w:t>1,2,3</w:t>
      </w:r>
      <w:r w:rsidRPr="001F326C">
        <w:rPr>
          <w:kern w:val="0"/>
        </w:rPr>
        <w:t>, K. M. Itoh</w:t>
      </w:r>
      <w:r w:rsidRPr="001F326C">
        <w:rPr>
          <w:kern w:val="0"/>
          <w:vertAlign w:val="superscript"/>
        </w:rPr>
        <w:t>4</w:t>
      </w:r>
      <w:r w:rsidRPr="001F326C">
        <w:rPr>
          <w:kern w:val="0"/>
        </w:rPr>
        <w:t>,</w:t>
      </w:r>
      <w:r w:rsidR="001F326C" w:rsidRPr="001F326C">
        <w:rPr>
          <w:kern w:val="0"/>
        </w:rPr>
        <w:t xml:space="preserve"> </w:t>
      </w:r>
      <w:r w:rsidRPr="00DC513D">
        <w:rPr>
          <w:kern w:val="0"/>
        </w:rPr>
        <w:t>A. M. Jakob</w:t>
      </w:r>
      <w:r w:rsidRPr="00DC513D">
        <w:rPr>
          <w:kern w:val="0"/>
          <w:vertAlign w:val="superscript"/>
        </w:rPr>
        <w:t>2,5</w:t>
      </w:r>
      <w:r w:rsidRPr="00DC513D">
        <w:rPr>
          <w:kern w:val="0"/>
        </w:rPr>
        <w:t>, B. C. Johnson</w:t>
      </w:r>
      <w:r w:rsidRPr="00DC513D">
        <w:rPr>
          <w:kern w:val="0"/>
          <w:vertAlign w:val="superscript"/>
        </w:rPr>
        <w:t>6</w:t>
      </w:r>
      <w:r w:rsidRPr="00DC513D">
        <w:rPr>
          <w:kern w:val="0"/>
        </w:rPr>
        <w:t>, D. N. Jamison</w:t>
      </w:r>
      <w:r w:rsidRPr="00DC513D">
        <w:rPr>
          <w:kern w:val="0"/>
          <w:vertAlign w:val="superscript"/>
        </w:rPr>
        <w:t>2,5</w:t>
      </w:r>
      <w:r w:rsidRPr="00DC513D">
        <w:rPr>
          <w:kern w:val="0"/>
        </w:rPr>
        <w:t>, A. Morello</w:t>
      </w:r>
      <w:r w:rsidRPr="00DC513D">
        <w:rPr>
          <w:kern w:val="0"/>
          <w:vertAlign w:val="superscript"/>
        </w:rPr>
        <w:t>1,2</w:t>
      </w:r>
    </w:p>
    <w:p w14:paraId="65695671" w14:textId="4EB4333D" w:rsidR="004E07B5" w:rsidRPr="003626CF" w:rsidRDefault="004E07B5" w:rsidP="003626CF">
      <w:pPr>
        <w:autoSpaceDE w:val="0"/>
        <w:autoSpaceDN w:val="0"/>
        <w:adjustRightInd w:val="0"/>
        <w:spacing w:after="0" w:line="240" w:lineRule="auto"/>
        <w:jc w:val="center"/>
        <w:rPr>
          <w:i/>
          <w:color w:val="222222"/>
          <w:kern w:val="0"/>
        </w:rPr>
      </w:pPr>
      <w:r w:rsidRPr="003626CF">
        <w:rPr>
          <w:i/>
          <w:vertAlign w:val="superscript"/>
        </w:rPr>
        <w:t>1</w:t>
      </w:r>
      <w:r w:rsidRPr="003626CF">
        <w:rPr>
          <w:i/>
          <w:color w:val="222222"/>
          <w:kern w:val="0"/>
        </w:rPr>
        <w:t>School of Electrical Engineering and Telecommunications, UNSW Sydney, Sydney, New</w:t>
      </w:r>
    </w:p>
    <w:p w14:paraId="1CBDC062" w14:textId="77777777" w:rsidR="004E07B5" w:rsidRPr="003626CF" w:rsidRDefault="004E07B5" w:rsidP="003626CF">
      <w:pPr>
        <w:pStyle w:val="Affiliation"/>
        <w:spacing w:line="240" w:lineRule="auto"/>
        <w:rPr>
          <w:color w:val="222222"/>
          <w:kern w:val="0"/>
        </w:rPr>
      </w:pPr>
      <w:r w:rsidRPr="003626CF">
        <w:rPr>
          <w:color w:val="222222"/>
          <w:kern w:val="0"/>
        </w:rPr>
        <w:t>South Wales 2052, Australia</w:t>
      </w:r>
    </w:p>
    <w:p w14:paraId="4426FE4A" w14:textId="77777777" w:rsidR="003626CF" w:rsidRPr="003626CF" w:rsidRDefault="003626CF" w:rsidP="003626CF">
      <w:pPr>
        <w:spacing w:after="0" w:line="240" w:lineRule="auto"/>
        <w:jc w:val="center"/>
        <w:rPr>
          <w:i/>
          <w:iCs/>
        </w:rPr>
      </w:pPr>
      <w:r w:rsidRPr="003626CF">
        <w:rPr>
          <w:i/>
          <w:iCs/>
          <w:vertAlign w:val="superscript"/>
        </w:rPr>
        <w:t>2</w:t>
      </w:r>
      <w:r w:rsidRPr="003626CF">
        <w:rPr>
          <w:i/>
          <w:iCs/>
        </w:rPr>
        <w:t>ARC Centre of Excellence for Quantum Computation and Communication Technology, Australia.</w:t>
      </w:r>
    </w:p>
    <w:p w14:paraId="26F638E6" w14:textId="77777777" w:rsidR="003626CF" w:rsidRPr="003626CF" w:rsidRDefault="003626CF" w:rsidP="003626CF">
      <w:pPr>
        <w:spacing w:after="0" w:line="240" w:lineRule="auto"/>
        <w:jc w:val="center"/>
        <w:rPr>
          <w:i/>
          <w:iCs/>
        </w:rPr>
      </w:pPr>
      <w:r w:rsidRPr="003626CF">
        <w:rPr>
          <w:i/>
          <w:iCs/>
          <w:vertAlign w:val="superscript"/>
        </w:rPr>
        <w:t>3</w:t>
      </w:r>
      <w:r w:rsidRPr="003626CF">
        <w:rPr>
          <w:i/>
          <w:iCs/>
        </w:rPr>
        <w:t>Diraq Pty. Ltd., Sydney &amp; 2052, Australia.</w:t>
      </w:r>
    </w:p>
    <w:p w14:paraId="4EF18521" w14:textId="77777777" w:rsidR="003626CF" w:rsidRPr="003626CF" w:rsidRDefault="003626CF" w:rsidP="003626CF">
      <w:pPr>
        <w:spacing w:after="0" w:line="240" w:lineRule="auto"/>
        <w:jc w:val="center"/>
        <w:rPr>
          <w:i/>
          <w:iCs/>
        </w:rPr>
      </w:pPr>
      <w:r w:rsidRPr="003626CF">
        <w:rPr>
          <w:i/>
          <w:iCs/>
          <w:vertAlign w:val="superscript"/>
        </w:rPr>
        <w:t>4</w:t>
      </w:r>
      <w:r w:rsidRPr="003626CF">
        <w:rPr>
          <w:i/>
          <w:iCs/>
        </w:rPr>
        <w:t>School of Fundamental Science and Technology, Keio University, Minato City &amp; 108-0073, Japan.</w:t>
      </w:r>
    </w:p>
    <w:p w14:paraId="228D17F6" w14:textId="77777777" w:rsidR="003626CF" w:rsidRPr="003626CF" w:rsidRDefault="003626CF" w:rsidP="003626CF">
      <w:pPr>
        <w:spacing w:after="0" w:line="240" w:lineRule="auto"/>
        <w:jc w:val="center"/>
        <w:rPr>
          <w:i/>
          <w:iCs/>
        </w:rPr>
      </w:pPr>
      <w:r w:rsidRPr="003626CF">
        <w:rPr>
          <w:i/>
          <w:iCs/>
          <w:vertAlign w:val="superscript"/>
        </w:rPr>
        <w:t>5</w:t>
      </w:r>
      <w:r w:rsidRPr="003626CF">
        <w:rPr>
          <w:i/>
          <w:iCs/>
        </w:rPr>
        <w:t>School of Physics, University of Melbourne, Melbourne &amp; 3010, Australia.</w:t>
      </w:r>
    </w:p>
    <w:p w14:paraId="49373D7E" w14:textId="19DCEB19" w:rsidR="00480AB4" w:rsidRDefault="003626CF" w:rsidP="003626CF">
      <w:pPr>
        <w:spacing w:after="120" w:line="240" w:lineRule="auto"/>
        <w:jc w:val="center"/>
        <w:rPr>
          <w:i/>
          <w:iCs/>
        </w:rPr>
      </w:pPr>
      <w:r w:rsidRPr="003626CF">
        <w:rPr>
          <w:i/>
          <w:iCs/>
          <w:vertAlign w:val="superscript"/>
        </w:rPr>
        <w:t>6</w:t>
      </w:r>
      <w:r w:rsidRPr="003626CF">
        <w:rPr>
          <w:i/>
          <w:iCs/>
        </w:rPr>
        <w:t>School of Science, RMIT University, Melbourne &amp; 3000, Australia.</w:t>
      </w:r>
    </w:p>
    <w:p w14:paraId="5504FE93" w14:textId="77777777" w:rsidR="003626CF" w:rsidRPr="003626CF" w:rsidRDefault="003626CF" w:rsidP="003626CF">
      <w:pPr>
        <w:spacing w:line="240" w:lineRule="auto"/>
        <w:jc w:val="center"/>
      </w:pPr>
    </w:p>
    <w:p w14:paraId="38B36B3A" w14:textId="77777777" w:rsidR="004E07B5" w:rsidRPr="004E07B5" w:rsidRDefault="004E07B5" w:rsidP="004E07B5">
      <w:pPr>
        <w:autoSpaceDE w:val="0"/>
        <w:autoSpaceDN w:val="0"/>
        <w:adjustRightInd w:val="0"/>
        <w:spacing w:after="0" w:line="240" w:lineRule="auto"/>
        <w:rPr>
          <w:kern w:val="0"/>
        </w:rPr>
      </w:pPr>
      <w:r w:rsidRPr="004E07B5">
        <w:rPr>
          <w:kern w:val="0"/>
        </w:rPr>
        <w:t>Nuclear spins of donor atoms are candidate qubits that show very long coherence times but</w:t>
      </w:r>
    </w:p>
    <w:p w14:paraId="5625723A" w14:textId="77777777" w:rsidR="004E07B5" w:rsidRPr="004E07B5" w:rsidRDefault="004E07B5" w:rsidP="004E07B5">
      <w:pPr>
        <w:autoSpaceDE w:val="0"/>
        <w:autoSpaceDN w:val="0"/>
        <w:adjustRightInd w:val="0"/>
        <w:spacing w:after="0" w:line="240" w:lineRule="auto"/>
        <w:rPr>
          <w:kern w:val="0"/>
        </w:rPr>
      </w:pPr>
      <w:r w:rsidRPr="004E07B5">
        <w:rPr>
          <w:kern w:val="0"/>
        </w:rPr>
        <w:t>remain challenging to couple. Here we present a four-qubit system consisting of two</w:t>
      </w:r>
    </w:p>
    <w:p w14:paraId="759BF2F5" w14:textId="77777777" w:rsidR="004E07B5" w:rsidRPr="004E07B5" w:rsidRDefault="004E07B5" w:rsidP="004E07B5">
      <w:pPr>
        <w:autoSpaceDE w:val="0"/>
        <w:autoSpaceDN w:val="0"/>
        <w:adjustRightInd w:val="0"/>
        <w:spacing w:after="0" w:line="240" w:lineRule="auto"/>
        <w:rPr>
          <w:kern w:val="0"/>
        </w:rPr>
      </w:pPr>
      <w:r w:rsidRPr="004E07B5">
        <w:rPr>
          <w:kern w:val="0"/>
        </w:rPr>
        <w:t>phosphorus donor atoms in silicon, both with a coupled electron with spin degree of</w:t>
      </w:r>
    </w:p>
    <w:p w14:paraId="7AC4A3AD" w14:textId="77777777" w:rsidR="004E07B5" w:rsidRPr="004E07B5" w:rsidRDefault="004E07B5" w:rsidP="004E07B5">
      <w:pPr>
        <w:autoSpaceDE w:val="0"/>
        <w:autoSpaceDN w:val="0"/>
        <w:adjustRightInd w:val="0"/>
        <w:spacing w:after="0" w:line="240" w:lineRule="auto"/>
        <w:rPr>
          <w:kern w:val="0"/>
        </w:rPr>
      </w:pPr>
      <w:r w:rsidRPr="004E07B5">
        <w:rPr>
          <w:kern w:val="0"/>
        </w:rPr>
        <w:t xml:space="preserve">freedom. The atoms couple over </w:t>
      </w:r>
      <w:proofErr w:type="gramStart"/>
      <w:r w:rsidRPr="004E07B5">
        <w:rPr>
          <w:kern w:val="0"/>
        </w:rPr>
        <w:t>a distance of 15-22</w:t>
      </w:r>
      <w:proofErr w:type="gramEnd"/>
      <w:r w:rsidRPr="004E07B5">
        <w:rPr>
          <w:kern w:val="0"/>
        </w:rPr>
        <w:t xml:space="preserve"> nm through the exchange interaction of</w:t>
      </w:r>
    </w:p>
    <w:p w14:paraId="64C81BA8" w14:textId="77777777" w:rsidR="004E07B5" w:rsidRPr="004E07B5" w:rsidRDefault="004E07B5" w:rsidP="004E07B5">
      <w:pPr>
        <w:autoSpaceDE w:val="0"/>
        <w:autoSpaceDN w:val="0"/>
        <w:adjustRightInd w:val="0"/>
        <w:spacing w:after="0" w:line="240" w:lineRule="auto"/>
        <w:rPr>
          <w:kern w:val="0"/>
        </w:rPr>
      </w:pPr>
      <w:r w:rsidRPr="004E07B5">
        <w:rPr>
          <w:kern w:val="0"/>
        </w:rPr>
        <w:t>the electrons. We use phase reversal tomography to show this coupling can be used to</w:t>
      </w:r>
    </w:p>
    <w:p w14:paraId="6BD9E6F4" w14:textId="77777777" w:rsidR="004E07B5" w:rsidRPr="004E07B5" w:rsidRDefault="004E07B5" w:rsidP="004E07B5">
      <w:pPr>
        <w:autoSpaceDE w:val="0"/>
        <w:autoSpaceDN w:val="0"/>
        <w:adjustRightInd w:val="0"/>
        <w:spacing w:after="0" w:line="240" w:lineRule="auto"/>
        <w:rPr>
          <w:kern w:val="0"/>
        </w:rPr>
      </w:pPr>
      <w:r w:rsidRPr="004E07B5">
        <w:rPr>
          <w:kern w:val="0"/>
        </w:rPr>
        <w:t>entangle the electrons and nuclei. Benchmarking on the electrons has shown single qubit</w:t>
      </w:r>
    </w:p>
    <w:p w14:paraId="217E0033" w14:textId="77777777" w:rsidR="004E07B5" w:rsidRPr="004E07B5" w:rsidRDefault="004E07B5" w:rsidP="004E07B5">
      <w:pPr>
        <w:autoSpaceDE w:val="0"/>
        <w:autoSpaceDN w:val="0"/>
        <w:adjustRightInd w:val="0"/>
        <w:spacing w:after="0" w:line="240" w:lineRule="auto"/>
        <w:rPr>
          <w:kern w:val="0"/>
        </w:rPr>
      </w:pPr>
      <w:r w:rsidRPr="004E07B5">
        <w:rPr>
          <w:kern w:val="0"/>
        </w:rPr>
        <w:t>fidelity of 99.9% and a Bell state fidelity of 93</w:t>
      </w:r>
      <w:proofErr w:type="gramStart"/>
      <w:r w:rsidRPr="004E07B5">
        <w:rPr>
          <w:kern w:val="0"/>
        </w:rPr>
        <w:t>%[</w:t>
      </w:r>
      <w:proofErr w:type="gramEnd"/>
      <w:r w:rsidRPr="004E07B5">
        <w:rPr>
          <w:kern w:val="0"/>
        </w:rPr>
        <w:t>1]. The entangling gate for the nuclei is a</w:t>
      </w:r>
    </w:p>
    <w:p w14:paraId="79DA6B2E" w14:textId="77777777" w:rsidR="004E07B5" w:rsidRPr="004E07B5" w:rsidRDefault="004E07B5" w:rsidP="004E07B5">
      <w:pPr>
        <w:autoSpaceDE w:val="0"/>
        <w:autoSpaceDN w:val="0"/>
        <w:adjustRightInd w:val="0"/>
        <w:spacing w:after="0" w:line="240" w:lineRule="auto"/>
        <w:rPr>
          <w:kern w:val="0"/>
        </w:rPr>
      </w:pPr>
      <w:r w:rsidRPr="004E07B5">
        <w:rPr>
          <w:kern w:val="0"/>
        </w:rPr>
        <w:t>controlled-Z gate imposed by a geometric phase of one of the electrons. Comparing the</w:t>
      </w:r>
    </w:p>
    <w:p w14:paraId="4B4ECEED" w14:textId="77777777" w:rsidR="004E07B5" w:rsidRPr="004E07B5" w:rsidRDefault="004E07B5" w:rsidP="004E07B5">
      <w:pPr>
        <w:autoSpaceDE w:val="0"/>
        <w:autoSpaceDN w:val="0"/>
        <w:adjustRightInd w:val="0"/>
        <w:spacing w:after="0" w:line="240" w:lineRule="auto"/>
        <w:rPr>
          <w:kern w:val="0"/>
        </w:rPr>
      </w:pPr>
      <w:r w:rsidRPr="004E07B5">
        <w:rPr>
          <w:kern w:val="0"/>
        </w:rPr>
        <w:t>results to simulation, it seems the fidelity is severely limited by the electron initialization.</w:t>
      </w:r>
    </w:p>
    <w:p w14:paraId="296546D2" w14:textId="77777777" w:rsidR="004E07B5" w:rsidRPr="004E07B5" w:rsidRDefault="004E07B5" w:rsidP="004E07B5">
      <w:pPr>
        <w:autoSpaceDE w:val="0"/>
        <w:autoSpaceDN w:val="0"/>
        <w:adjustRightInd w:val="0"/>
        <w:spacing w:after="0" w:line="240" w:lineRule="auto"/>
        <w:rPr>
          <w:kern w:val="0"/>
        </w:rPr>
      </w:pPr>
      <w:r w:rsidRPr="004E07B5">
        <w:rPr>
          <w:kern w:val="0"/>
        </w:rPr>
        <w:t>Where the procedure expects to load spin-down electrons onto the donor, spin-up electrons</w:t>
      </w:r>
    </w:p>
    <w:p w14:paraId="2D5AAF45" w14:textId="77777777" w:rsidR="004E07B5" w:rsidRPr="004E07B5" w:rsidRDefault="004E07B5" w:rsidP="004E07B5">
      <w:pPr>
        <w:autoSpaceDE w:val="0"/>
        <w:autoSpaceDN w:val="0"/>
        <w:adjustRightInd w:val="0"/>
        <w:spacing w:after="0" w:line="240" w:lineRule="auto"/>
        <w:rPr>
          <w:kern w:val="0"/>
        </w:rPr>
      </w:pPr>
      <w:r w:rsidRPr="004E07B5">
        <w:rPr>
          <w:kern w:val="0"/>
        </w:rPr>
        <w:t>are loaded an estimated 14% of the time. Efforts to reduce this error through a Maxwell’s</w:t>
      </w:r>
    </w:p>
    <w:p w14:paraId="156C16D3" w14:textId="3BA7369A" w:rsidR="007553E8" w:rsidRPr="003626CF" w:rsidRDefault="004E07B5" w:rsidP="003626CF">
      <w:pPr>
        <w:rPr>
          <w:kern w:val="0"/>
        </w:rPr>
      </w:pPr>
      <w:r w:rsidRPr="004E07B5">
        <w:rPr>
          <w:kern w:val="0"/>
        </w:rPr>
        <w:t xml:space="preserve">demon loading technique have been shown to be quite successful in earlier </w:t>
      </w:r>
      <w:proofErr w:type="gramStart"/>
      <w:r w:rsidRPr="004E07B5">
        <w:rPr>
          <w:kern w:val="0"/>
        </w:rPr>
        <w:t>work[</w:t>
      </w:r>
      <w:proofErr w:type="gramEnd"/>
      <w:r w:rsidRPr="004E07B5">
        <w:rPr>
          <w:kern w:val="0"/>
        </w:rPr>
        <w:t>2].</w:t>
      </w:r>
    </w:p>
    <w:p w14:paraId="15F73939" w14:textId="77777777" w:rsidR="007553E8" w:rsidRDefault="007553E8" w:rsidP="007553E8">
      <w:pPr>
        <w:pStyle w:val="Reference"/>
      </w:pPr>
    </w:p>
    <w:p w14:paraId="31A93FE6" w14:textId="53224D16" w:rsidR="00DC513D" w:rsidRPr="00DC513D" w:rsidRDefault="00A322E1" w:rsidP="00DC513D">
      <w:pPr>
        <w:pStyle w:val="Reference"/>
      </w:pPr>
      <w:r w:rsidRPr="00DC513D">
        <w:rPr>
          <w:rFonts w:hint="eastAsia"/>
        </w:rPr>
        <w:t xml:space="preserve">[1] </w:t>
      </w:r>
      <w:r w:rsidR="00DC513D">
        <w:t xml:space="preserve">H. </w:t>
      </w:r>
      <w:r w:rsidR="00DC513D" w:rsidRPr="00DC513D">
        <w:t>Stemp</w:t>
      </w:r>
      <w:r w:rsidR="00DC513D">
        <w:t xml:space="preserve"> et al. </w:t>
      </w:r>
      <w:r w:rsidR="00DC513D" w:rsidRPr="00DC513D">
        <w:t xml:space="preserve">(2023). </w:t>
      </w:r>
      <w:r w:rsidR="00DC513D" w:rsidRPr="00DC513D">
        <w:rPr>
          <w:i/>
          <w:iCs/>
        </w:rPr>
        <w:t>Tomography of entangling two-qubit logic operations in exchange-coupled donor electron spin</w:t>
      </w:r>
      <w:r w:rsidR="00DC513D" w:rsidRPr="00DC513D">
        <w:rPr>
          <w:i/>
          <w:iCs/>
        </w:rPr>
        <w:t xml:space="preserve"> </w:t>
      </w:r>
      <w:r w:rsidR="00DC513D" w:rsidRPr="00DC513D">
        <w:rPr>
          <w:i/>
          <w:iCs/>
        </w:rPr>
        <w:t>qubits</w:t>
      </w:r>
      <w:r w:rsidR="00DC513D" w:rsidRPr="00DC513D">
        <w:t xml:space="preserve"> (arXiv:2309.15463). </w:t>
      </w:r>
      <w:proofErr w:type="spellStart"/>
      <w:r w:rsidR="00DC513D" w:rsidRPr="00DC513D">
        <w:t>arXiv</w:t>
      </w:r>
      <w:proofErr w:type="spellEnd"/>
      <w:r w:rsidR="00DC513D" w:rsidRPr="00DC513D">
        <w:t>.</w:t>
      </w:r>
      <w:r w:rsidR="00DC513D">
        <w:t xml:space="preserve"> </w:t>
      </w:r>
      <w:r w:rsidR="00DC513D" w:rsidRPr="00DC513D">
        <w:t>http://arxiv.org/abs/2309.15463</w:t>
      </w:r>
      <w:r w:rsidR="00DC513D" w:rsidRPr="00DC513D">
        <w:rPr>
          <w:rFonts w:hint="eastAsia"/>
        </w:rPr>
        <w:t xml:space="preserve"> </w:t>
      </w:r>
    </w:p>
    <w:p w14:paraId="77E00EC8" w14:textId="2C18A697" w:rsidR="00CE11C9" w:rsidRPr="00DC513D" w:rsidRDefault="00CE11C9" w:rsidP="00DC513D">
      <w:pPr>
        <w:pStyle w:val="Reference"/>
        <w:rPr>
          <w:i/>
          <w:iCs/>
        </w:rPr>
      </w:pPr>
      <w:r w:rsidRPr="00DC513D">
        <w:rPr>
          <w:rFonts w:hint="eastAsia"/>
        </w:rPr>
        <w:t xml:space="preserve">[2] </w:t>
      </w:r>
      <w:r w:rsidR="00DC513D" w:rsidRPr="00DC513D">
        <w:t>M. A.</w:t>
      </w:r>
      <w:r w:rsidR="00DC513D">
        <w:t xml:space="preserve"> </w:t>
      </w:r>
      <w:r w:rsidR="00DC513D" w:rsidRPr="00DC513D">
        <w:t>Johnson</w:t>
      </w:r>
      <w:r w:rsidR="00DC513D">
        <w:t xml:space="preserve"> et al.</w:t>
      </w:r>
      <w:r w:rsidR="00DC513D" w:rsidRPr="00DC513D">
        <w:t xml:space="preserve"> (2022) </w:t>
      </w:r>
      <w:r w:rsidR="00DC513D" w:rsidRPr="00DC513D">
        <w:rPr>
          <w:i/>
          <w:iCs/>
        </w:rPr>
        <w:t>Beating the Thermal Limit of Qubit Initialization with a Bayesian Maxwell’s</w:t>
      </w:r>
      <w:r w:rsidR="00DC513D" w:rsidRPr="00DC513D">
        <w:rPr>
          <w:i/>
          <w:iCs/>
        </w:rPr>
        <w:t xml:space="preserve"> </w:t>
      </w:r>
      <w:r w:rsidR="00DC513D" w:rsidRPr="00DC513D">
        <w:rPr>
          <w:i/>
          <w:iCs/>
        </w:rPr>
        <w:t>Demon</w:t>
      </w:r>
      <w:r w:rsidR="00DC513D" w:rsidRPr="00DC513D">
        <w:t xml:space="preserve">. Phys. Rev. X 12, 041008 </w:t>
      </w:r>
    </w:p>
    <w:p w14:paraId="47B56DBA" w14:textId="77777777" w:rsidR="00224950" w:rsidRPr="00DC513D" w:rsidRDefault="00224950" w:rsidP="001E4F9A"/>
    <w:sectPr w:rsidR="00224950" w:rsidRPr="00DC5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EB3FB" w14:textId="77777777" w:rsidR="00826D43" w:rsidRDefault="00826D43" w:rsidP="00CE15CF">
      <w:pPr>
        <w:spacing w:after="0" w:line="240" w:lineRule="auto"/>
      </w:pPr>
      <w:r>
        <w:separator/>
      </w:r>
    </w:p>
  </w:endnote>
  <w:endnote w:type="continuationSeparator" w:id="0">
    <w:p w14:paraId="618F08E2" w14:textId="77777777" w:rsidR="00826D43" w:rsidRDefault="00826D43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A8DBD" w14:textId="77777777" w:rsidR="00826D43" w:rsidRDefault="00826D43" w:rsidP="00CE15CF">
      <w:pPr>
        <w:spacing w:after="0" w:line="240" w:lineRule="auto"/>
      </w:pPr>
      <w:r>
        <w:separator/>
      </w:r>
    </w:p>
  </w:footnote>
  <w:footnote w:type="continuationSeparator" w:id="0">
    <w:p w14:paraId="11ADD987" w14:textId="77777777" w:rsidR="00826D43" w:rsidRDefault="00826D43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46682"/>
    <w:rsid w:val="00062E4E"/>
    <w:rsid w:val="00120CCB"/>
    <w:rsid w:val="00192CFE"/>
    <w:rsid w:val="00196367"/>
    <w:rsid w:val="001E4F9A"/>
    <w:rsid w:val="001F326C"/>
    <w:rsid w:val="00224950"/>
    <w:rsid w:val="00310969"/>
    <w:rsid w:val="003272D9"/>
    <w:rsid w:val="00354FC6"/>
    <w:rsid w:val="003626CF"/>
    <w:rsid w:val="003B5A75"/>
    <w:rsid w:val="00480AB4"/>
    <w:rsid w:val="004C18D2"/>
    <w:rsid w:val="004E07B5"/>
    <w:rsid w:val="00514895"/>
    <w:rsid w:val="00573209"/>
    <w:rsid w:val="00635F00"/>
    <w:rsid w:val="00674CE5"/>
    <w:rsid w:val="0069213C"/>
    <w:rsid w:val="00694951"/>
    <w:rsid w:val="00751E64"/>
    <w:rsid w:val="007553E8"/>
    <w:rsid w:val="007B47C9"/>
    <w:rsid w:val="00821581"/>
    <w:rsid w:val="00826D43"/>
    <w:rsid w:val="008858ED"/>
    <w:rsid w:val="00895FF3"/>
    <w:rsid w:val="008B7115"/>
    <w:rsid w:val="00915C70"/>
    <w:rsid w:val="00A00D9F"/>
    <w:rsid w:val="00A322E1"/>
    <w:rsid w:val="00A50716"/>
    <w:rsid w:val="00A8352C"/>
    <w:rsid w:val="00AD5AB1"/>
    <w:rsid w:val="00AE30CA"/>
    <w:rsid w:val="00AE43D2"/>
    <w:rsid w:val="00B22CDD"/>
    <w:rsid w:val="00B24FDF"/>
    <w:rsid w:val="00BA4C5D"/>
    <w:rsid w:val="00C06AC6"/>
    <w:rsid w:val="00C77156"/>
    <w:rsid w:val="00CE11C9"/>
    <w:rsid w:val="00CE15CF"/>
    <w:rsid w:val="00DC513D"/>
    <w:rsid w:val="00EA0133"/>
    <w:rsid w:val="00EE472A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6E5C5-0F24-4166-84CD-94EAC76F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Mark Van Blankenstein</cp:lastModifiedBy>
  <cp:revision>12</cp:revision>
  <dcterms:created xsi:type="dcterms:W3CDTF">2024-09-13T07:11:00Z</dcterms:created>
  <dcterms:modified xsi:type="dcterms:W3CDTF">2024-09-13T07:26:00Z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