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Spin qubits in carbon nanotubes : a platform for quantum computing</w:t>
      </w:r>
    </w:p>
    <w:p>
      <w:pPr>
        <w:pStyle w:val="Authorlist"/>
        <w:rPr/>
      </w:pPr>
      <w:r>
        <w:rPr/>
        <w:t xml:space="preserve">F.N. </w:t>
      </w:r>
      <w:r>
        <w:rPr>
          <w:lang w:val="en-US"/>
        </w:rPr>
        <w:t>Krauth</w:t>
      </w:r>
      <w:r>
        <w:rPr>
          <w:vertAlign w:val="superscript"/>
          <w:lang w:val="en-US"/>
        </w:rPr>
        <w:t>1</w:t>
      </w:r>
      <w:r>
        <w:rPr>
          <w:lang w:val="en-US"/>
        </w:rPr>
        <w:t>, B. Neukelmance</w:t>
      </w:r>
      <w:r>
        <w:rPr>
          <w:vertAlign w:val="superscript"/>
          <w:lang w:val="en-US"/>
        </w:rPr>
        <w:t>1</w:t>
      </w:r>
      <w:r>
        <w:rPr>
          <w:lang w:val="en-US"/>
        </w:rPr>
        <w:t>, M. Hynes</w:t>
      </w:r>
      <w:r>
        <w:rPr>
          <w:vertAlign w:val="superscript"/>
          <w:lang w:val="en-US"/>
        </w:rPr>
        <w:t>1</w:t>
      </w:r>
      <w:r>
        <w:rPr/>
        <w:t>, B. Hue</w:t>
      </w:r>
      <w:r>
        <w:rPr>
          <w:vertAlign w:val="superscript"/>
          <w:lang w:val="en-US"/>
        </w:rPr>
        <w:t>1,2</w:t>
      </w:r>
      <w:r>
        <w:rPr>
          <w:lang w:val="en-US"/>
        </w:rPr>
        <w:t>, A . Larrouy</w:t>
      </w:r>
      <w:r>
        <w:rPr>
          <w:vertAlign w:val="superscript"/>
          <w:lang w:val="en-US"/>
        </w:rPr>
        <w:t>1</w:t>
      </w:r>
      <w:r>
        <w:rPr>
          <w:lang w:val="en-US"/>
        </w:rPr>
        <w:t>, L. Godet</w:t>
      </w:r>
      <w:r>
        <w:rPr>
          <w:vertAlign w:val="superscript"/>
          <w:lang w:val="en-US"/>
        </w:rPr>
        <w:t>1</w:t>
      </w:r>
      <w:r>
        <w:rPr>
          <w:lang w:val="en-US"/>
        </w:rPr>
        <w:t>, L. Vistoli</w:t>
      </w:r>
      <w:r>
        <w:rPr>
          <w:vertAlign w:val="superscript"/>
          <w:lang w:val="en-US"/>
        </w:rPr>
        <w:t>1</w:t>
      </w:r>
      <w:r>
        <w:rPr>
          <w:lang w:val="en-US"/>
        </w:rPr>
        <w:t>, T. Kontos</w:t>
      </w:r>
      <w:r>
        <w:rPr>
          <w:vertAlign w:val="superscript"/>
          <w:lang w:val="en-US"/>
        </w:rPr>
        <w:t>2</w:t>
      </w:r>
      <w:r>
        <w:rPr>
          <w:lang w:val="en-US"/>
        </w:rPr>
        <w:t>, M. Delbecq</w:t>
      </w:r>
      <w:r>
        <w:rPr>
          <w:vertAlign w:val="superscript"/>
          <w:lang w:val="en-US"/>
        </w:rPr>
        <w:t>2</w:t>
      </w:r>
      <w:r>
        <w:rPr>
          <w:lang w:val="en-US"/>
        </w:rPr>
        <w:t>, M.M. Desjardins</w:t>
      </w:r>
      <w:r>
        <w:rPr>
          <w:vertAlign w:val="superscript"/>
          <w:lang w:val="en-US"/>
        </w:rPr>
        <w:t>1</w:t>
      </w:r>
    </w:p>
    <w:p>
      <w:pPr>
        <w:pStyle w:val="Affiliation"/>
        <w:rPr/>
      </w:pPr>
      <w:r>
        <w:rPr>
          <w:vertAlign w:val="superscript"/>
          <w:lang w:val="en-US"/>
        </w:rPr>
        <w:t>1</w:t>
      </w:r>
      <w:r>
        <w:rPr/>
        <w:t>C12 Quantum Electronics, Paris, France</w:t>
      </w:r>
    </w:p>
    <w:p>
      <w:pPr>
        <w:pStyle w:val="Affiliation"/>
        <w:rPr>
          <w:rFonts w:ascii="Times Roman" w:hAnsi="Times Roman" w:eastAsia="Times Roman" w:cs="Times Roman"/>
          <w:i w:val="false"/>
          <w:i w:val="false"/>
          <w:iCs w:val="false"/>
          <w:sz w:val="24"/>
          <w:szCs w:val="24"/>
        </w:rPr>
      </w:pPr>
      <w:r>
        <w:rPr>
          <w:vertAlign w:val="superscript"/>
          <w:lang w:val="en-US"/>
        </w:rPr>
        <w:t>2</w:t>
      </w:r>
      <w:r>
        <w:rPr/>
        <w:t>Laboratoire de Physique de l’École normale supérieure, ENS, Université PSL, CNRS, Sorbonne Université, Université Paris Cité, Paris, France</w:t>
      </w:r>
    </w:p>
    <w:p>
      <w:pPr>
        <w:pStyle w:val="Affiliation"/>
        <w:rPr/>
      </w:pPr>
      <w:r>
        <w:rPr/>
      </w:r>
    </w:p>
    <w:p>
      <w:pPr>
        <w:pStyle w:val="Body"/>
        <w:rPr/>
      </w:pPr>
      <w:r>
        <w:rPr/>
      </w:r>
    </w:p>
    <w:p>
      <w:pPr>
        <w:pStyle w:val="Body"/>
        <w:rPr/>
      </w:pPr>
      <w:r>
        <w:rPr>
          <w:lang w:val="en-US"/>
        </w:rPr>
        <w:t>Spin qubits in semiconductor quantum dots represent a promising platform for quantum computation. The platform builds on the formidable technological maturity of the classical semiconductor industry, the qubits are compact and have demonstrated fault-tolerant single and two-qubit gate operations</w:t>
      </w:r>
      <w:r>
        <w:rPr>
          <w:vertAlign w:val="superscript"/>
          <w:lang w:val="en-US"/>
        </w:rPr>
        <w:t>[</w:t>
      </w:r>
      <w:r>
        <w:rPr>
          <w:vertAlign w:val="superscript"/>
          <w:lang w:val="en-US"/>
        </w:rPr>
        <w:t>1</w:t>
      </w:r>
      <w:r>
        <w:rPr>
          <w:vertAlign w:val="superscript"/>
          <w:lang w:val="en-US"/>
        </w:rPr>
        <w:t>].</w:t>
      </w:r>
      <w:r>
        <w:rPr>
          <w:lang w:val="en-US"/>
        </w:rPr>
        <w:t xml:space="preserve"> In the last few years, the effort towards reaching sub-threshold operation fidelities has been hampered by electric-field noise induced by charge fluctuators in the environment</w:t>
      </w:r>
      <w:r>
        <w:rPr>
          <w:vertAlign w:val="superscript"/>
          <w:lang w:val="en-US"/>
        </w:rPr>
        <w:t>[</w:t>
      </w:r>
      <w:r>
        <w:rPr>
          <w:vertAlign w:val="superscript"/>
          <w:lang w:val="en-US"/>
        </w:rPr>
        <w:t>2</w:t>
      </w:r>
      <w:r>
        <w:rPr>
          <w:vertAlign w:val="superscript"/>
          <w:lang w:val="en-US"/>
        </w:rPr>
        <w:t>]</w:t>
      </w:r>
      <w:r>
        <w:rPr>
          <w:lang w:val="en-US"/>
        </w:rPr>
        <w:t>. T</w:t>
      </w:r>
      <w:r>
        <w:rPr/>
        <w:t>o pave the way towards large and useful quantum processors, a</w:t>
      </w:r>
      <w:r>
        <w:rPr>
          <w:lang w:val="en-US"/>
        </w:rPr>
        <w:t xml:space="preserve"> second effort of the spin qubit community has been to couple distant spin qubits via superconducting resonators. </w:t>
      </w:r>
      <w:r>
        <w:rPr/>
        <w:br/>
      </w:r>
      <w:r>
        <w:rPr>
          <w:lang w:val="en-US"/>
        </w:rPr>
        <w:t xml:space="preserve">We propose to tackle these two challenges using carbon nanotubes as the host semiconducting structure. By suspending the carbon nanotube, the quantum dots hosting the spin qubits can be moved away from potential charge fluctuators. Based on recent measurements, we show that we can reproducibly create and control long-lived quantum states in such structures, while being coupled to a superconducting cavity used for state-readout. </w:t>
      </w:r>
      <w:r>
        <w:rPr>
          <w:lang w:val="en-US"/>
        </w:rPr>
        <w:t>We demonstrate</w:t>
      </w:r>
      <w:r>
        <w:rPr>
          <w:lang w:val="en-US"/>
        </w:rPr>
        <w:t xml:space="preserve"> </w:t>
      </w:r>
      <w:r>
        <w:rPr>
          <w:lang w:val="en-US"/>
        </w:rPr>
        <w:t xml:space="preserve">relaxation times near ten micro-seconds, and coherence times above one micro-second without any particular optimization. </w:t>
      </w:r>
      <w:r>
        <w:rPr>
          <w:lang w:val="en-US"/>
        </w:rPr>
        <w:t>The particularities of the observed time-dynamics are attributed to the valley degree of freedom. Finally, we introduce ongoing efforts towards engineering cavity-mediated two-qubit coupling based on high-impedance superconducting resonators (see poster by S. Lopes).</w:t>
      </w:r>
    </w:p>
    <w:p>
      <w:pPr>
        <w:pStyle w:val="Body"/>
        <w:rPr/>
      </w:pPr>
      <w:r>
        <w:rPr/>
        <w:drawing>
          <wp:anchor behindDoc="0" distT="0" distB="0" distL="0" distR="0" simplePos="0" locked="0" layoutInCell="0" allowOverlap="1" relativeHeight="6">
            <wp:simplePos x="0" y="0"/>
            <wp:positionH relativeFrom="column">
              <wp:posOffset>-12065</wp:posOffset>
            </wp:positionH>
            <wp:positionV relativeFrom="paragraph">
              <wp:posOffset>41275</wp:posOffset>
            </wp:positionV>
            <wp:extent cx="2563495" cy="19215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563495" cy="1921510"/>
                    </a:xfrm>
                    <a:prstGeom prst="rect">
                      <a:avLst/>
                    </a:prstGeom>
                  </pic:spPr>
                </pic:pic>
              </a:graphicData>
            </a:graphic>
          </wp:anchor>
        </w:drawing>
        <w:drawing>
          <wp:anchor behindDoc="0" distT="0" distB="0" distL="0" distR="0" simplePos="0" locked="0" layoutInCell="0" allowOverlap="1" relativeHeight="7">
            <wp:simplePos x="0" y="0"/>
            <wp:positionH relativeFrom="column">
              <wp:posOffset>3080385</wp:posOffset>
            </wp:positionH>
            <wp:positionV relativeFrom="paragraph">
              <wp:posOffset>21590</wp:posOffset>
            </wp:positionV>
            <wp:extent cx="3014345" cy="215836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3014345" cy="2158365"/>
                    </a:xfrm>
                    <a:prstGeom prst="rect">
                      <a:avLst/>
                    </a:prstGeom>
                  </pic:spPr>
                </pic:pic>
              </a:graphicData>
            </a:graphic>
          </wp:anchor>
        </w:drawing>
      </w:r>
    </w:p>
    <w:p>
      <w:pPr>
        <w:pStyle w:val="Body"/>
        <w:rPr/>
      </w:pPr>
      <w:r>
        <w:rPr/>
      </w:r>
    </w:p>
    <w:p>
      <w:pPr>
        <w:pStyle w:val="Reference"/>
        <w:rPr/>
      </w:pPr>
      <w:r>
        <w:rPr/>
      </w:r>
    </w:p>
    <w:p>
      <w:pPr>
        <w:pStyle w:val="Reference"/>
        <w:rPr/>
      </w:pPr>
      <w:r>
        <w:rPr/>
      </w:r>
    </w:p>
    <w:p>
      <w:pPr>
        <w:pStyle w:val="Reference"/>
        <w:rPr/>
      </w:pPr>
      <w:r>
        <w:rPr/>
      </w:r>
    </w:p>
    <w:p>
      <w:pPr>
        <w:pStyle w:val="Reference"/>
        <w:rPr/>
      </w:pPr>
      <w:r>
        <w:rPr/>
      </w:r>
    </w:p>
    <w:p>
      <w:pPr>
        <w:pStyle w:val="Reference"/>
        <w:rPr/>
      </w:pPr>
      <w:r>
        <w:rPr/>
      </w:r>
    </w:p>
    <w:p>
      <w:pPr>
        <w:pStyle w:val="Reference"/>
        <w:rPr/>
      </w:pPr>
      <w:r>
        <w:rPr/>
      </w:r>
    </w:p>
    <w:p>
      <w:pPr>
        <w:pStyle w:val="Reference"/>
        <w:rPr/>
      </w:pPr>
      <w:r>
        <w:rPr/>
      </w:r>
    </w:p>
    <w:p>
      <w:pPr>
        <w:pStyle w:val="Reference"/>
        <w:rPr/>
      </w:pPr>
      <w:r>
        <w:rPr/>
      </w:r>
    </w:p>
    <w:p>
      <w:pPr>
        <w:pStyle w:val="Reference"/>
        <w:rPr/>
      </w:pPr>
      <w:r>
        <w:rPr/>
        <mc:AlternateContent>
          <mc:Choice Requires="wps">
            <w:drawing>
              <wp:anchor behindDoc="0" distT="152400" distB="152400" distL="152400" distR="151765" simplePos="0" locked="0" layoutInCell="0" allowOverlap="1" relativeHeight="4">
                <wp:simplePos x="0" y="0"/>
                <wp:positionH relativeFrom="column">
                  <wp:posOffset>-48895</wp:posOffset>
                </wp:positionH>
                <wp:positionV relativeFrom="paragraph">
                  <wp:posOffset>130810</wp:posOffset>
                </wp:positionV>
                <wp:extent cx="2580005" cy="767080"/>
                <wp:effectExtent l="0" t="0" r="0" b="0"/>
                <wp:wrapThrough wrapText="bothSides">
                  <wp:wrapPolygon edited="0">
                    <wp:start x="0" y="0"/>
                    <wp:lineTo x="21600" y="0"/>
                    <wp:lineTo x="21600" y="21600"/>
                    <wp:lineTo x="0" y="21600"/>
                    <wp:lineTo x="0" y="0"/>
                  </wp:wrapPolygon>
                </wp:wrapThrough>
                <wp:docPr id="3" name="officeArt object" descr="Figure 1: SEM image of a typical device, with the suspended nanotube in the middle,  5 horizontal metallic gates, and a source and drain contacts on top and bottom."/>
                <a:graphic xmlns:a="http://schemas.openxmlformats.org/drawingml/2006/main">
                  <a:graphicData uri="http://schemas.microsoft.com/office/word/2010/wordprocessingShape">
                    <wps:wsp>
                      <wps:cNvSpPr/>
                      <wps:spPr>
                        <a:xfrm>
                          <a:off x="0" y="0"/>
                          <a:ext cx="2580120" cy="767160"/>
                        </a:xfrm>
                        <a:prstGeom prst="rect">
                          <a:avLst/>
                        </a:prstGeom>
                        <a:noFill/>
                        <a:ln w="12700">
                          <a:noFill/>
                        </a:ln>
                      </wps:spPr>
                      <wps:style>
                        <a:lnRef idx="0"/>
                        <a:fillRef idx="0"/>
                        <a:effectRef idx="0"/>
                        <a:fontRef idx="minor"/>
                      </wps:style>
                      <wps:txbx>
                        <w:txbxContent>
                          <w:p>
                            <w:pPr>
                              <w:pStyle w:val="Caption"/>
                              <w:tabs>
                                <w:tab w:val="clear" w:pos="720"/>
                                <w:tab w:val="left" w:pos="1440" w:leader="none"/>
                                <w:tab w:val="left" w:pos="2880" w:leader="none"/>
                              </w:tabs>
                              <w:rPr/>
                            </w:pPr>
                            <w:r>
                              <w:rPr>
                                <w:sz w:val="20"/>
                                <w:szCs w:val="20"/>
                                <w:lang w:val="it-IT"/>
                              </w:rPr>
                              <w:t xml:space="preserve">Figure </w:t>
                            </w:r>
                            <w:r>
                              <w:rPr>
                                <w:sz w:val="20"/>
                                <w:szCs w:val="20"/>
                                <w:lang w:val="en-US"/>
                              </w:rPr>
                              <w:t>1: SEM image of a typical device, with the suspended nanotube in the middle,  5 horizontal metallic gates, and a source and drain contacts on top and bottom.</w:t>
                            </w:r>
                          </w:p>
                        </w:txbxContent>
                      </wps:txbx>
                      <wps:bodyPr lIns="45720" rIns="45720" anchor="t">
                        <a:noAutofit/>
                      </wps:bodyPr>
                    </wps:wsp>
                  </a:graphicData>
                </a:graphic>
              </wp:anchor>
            </w:drawing>
          </mc:Choice>
          <mc:Fallback>
            <w:pict>
              <v:rect id="shape_0" ID="officeArt object" path="m0,0l-2147483645,0l-2147483645,-2147483646l0,-2147483646xe" stroked="f" o:allowincell="f" style="position:absolute;margin-left:-3.85pt;margin-top:10.3pt;width:203.1pt;height:60.35pt;mso-wrap-style:square;v-text-anchor:top">
                <v:fill o:detectmouseclick="t" on="false"/>
                <v:stroke color="#3465a4" weight="12600" joinstyle="miter" endcap="flat"/>
                <v:textbox>
                  <w:txbxContent>
                    <w:p>
                      <w:pPr>
                        <w:pStyle w:val="Caption"/>
                        <w:tabs>
                          <w:tab w:val="clear" w:pos="720"/>
                          <w:tab w:val="left" w:pos="1440" w:leader="none"/>
                          <w:tab w:val="left" w:pos="2880" w:leader="none"/>
                        </w:tabs>
                        <w:rPr/>
                      </w:pPr>
                      <w:r>
                        <w:rPr>
                          <w:sz w:val="20"/>
                          <w:szCs w:val="20"/>
                          <w:lang w:val="it-IT"/>
                        </w:rPr>
                        <w:t xml:space="preserve">Figure </w:t>
                      </w:r>
                      <w:r>
                        <w:rPr>
                          <w:sz w:val="20"/>
                          <w:szCs w:val="20"/>
                          <w:lang w:val="en-US"/>
                        </w:rPr>
                        <w:t>1: SEM image of a typical device, with the suspended nanotube in the middle,  5 horizontal metallic gates, and a source and drain contacts on top and bottom.</w:t>
                      </w:r>
                    </w:p>
                  </w:txbxContent>
                </v:textbox>
                <w10:wrap type="square"/>
              </v:rect>
            </w:pict>
          </mc:Fallback>
        </mc:AlternateContent>
      </w:r>
    </w:p>
    <w:p>
      <w:pPr>
        <w:pStyle w:val="Reference"/>
        <w:rPr/>
      </w:pPr>
      <w:r>
        <w:rPr/>
        <mc:AlternateContent>
          <mc:Choice Requires="wps">
            <w:drawing>
              <wp:anchor behindDoc="0" distT="152400" distB="151130" distL="152400" distR="152400" simplePos="0" locked="0" layoutInCell="0" allowOverlap="1" relativeHeight="2">
                <wp:simplePos x="0" y="0"/>
                <wp:positionH relativeFrom="column">
                  <wp:posOffset>3253740</wp:posOffset>
                </wp:positionH>
                <wp:positionV relativeFrom="paragraph">
                  <wp:posOffset>69215</wp:posOffset>
                </wp:positionV>
                <wp:extent cx="2466340" cy="470535"/>
                <wp:effectExtent l="0" t="0" r="0" b="0"/>
                <wp:wrapThrough wrapText="bothSides">
                  <wp:wrapPolygon edited="0">
                    <wp:start x="0" y="0"/>
                    <wp:lineTo x="21600" y="0"/>
                    <wp:lineTo x="21600" y="21600"/>
                    <wp:lineTo x="0" y="21600"/>
                    <wp:lineTo x="0" y="0"/>
                  </wp:wrapPolygon>
                </wp:wrapThrough>
                <wp:docPr id="4" name="officeArt object" descr="Figure 2: Rabi chevron with T2R=10.5us, on a transition with T1=8.7us and T2*=1.5us."/>
                <a:graphic xmlns:a="http://schemas.openxmlformats.org/drawingml/2006/main">
                  <a:graphicData uri="http://schemas.microsoft.com/office/word/2010/wordprocessingShape">
                    <wps:wsp>
                      <wps:cNvSpPr/>
                      <wps:spPr>
                        <a:xfrm>
                          <a:off x="0" y="0"/>
                          <a:ext cx="2466360" cy="470520"/>
                        </a:xfrm>
                        <a:prstGeom prst="rect">
                          <a:avLst/>
                        </a:prstGeom>
                        <a:noFill/>
                        <a:ln w="12700">
                          <a:noFill/>
                        </a:ln>
                      </wps:spPr>
                      <wps:style>
                        <a:lnRef idx="0"/>
                        <a:fillRef idx="0"/>
                        <a:effectRef idx="0"/>
                        <a:fontRef idx="minor"/>
                      </wps:style>
                      <wps:txbx>
                        <w:txbxContent>
                          <w:p>
                            <w:pPr>
                              <w:pStyle w:val="Caption"/>
                              <w:tabs>
                                <w:tab w:val="clear" w:pos="720"/>
                                <w:tab w:val="left" w:pos="1440" w:leader="none"/>
                                <w:tab w:val="left" w:pos="2880" w:leader="none"/>
                              </w:tabs>
                              <w:rPr/>
                            </w:pPr>
                            <w:r>
                              <w:rPr>
                                <w:sz w:val="20"/>
                                <w:szCs w:val="20"/>
                                <w:lang w:val="it-IT"/>
                              </w:rPr>
                              <w:t xml:space="preserve">Figure </w:t>
                            </w:r>
                            <w:r>
                              <w:rPr>
                                <w:sz w:val="20"/>
                                <w:szCs w:val="20"/>
                                <w:lang w:val="en-US"/>
                              </w:rPr>
                              <w:t>2:</w:t>
                            </w:r>
                            <w:r>
                              <w:rPr>
                                <w:sz w:val="20"/>
                                <w:szCs w:val="20"/>
                              </w:rPr>
                              <w:t xml:space="preserve"> </w:t>
                            </w:r>
                            <w:r>
                              <w:rPr>
                                <w:sz w:val="20"/>
                                <w:szCs w:val="20"/>
                                <w:lang w:val="en-US"/>
                              </w:rPr>
                              <w:t>Rabi chevron with T</w:t>
                            </w:r>
                            <w:r>
                              <w:rPr>
                                <w:sz w:val="20"/>
                                <w:szCs w:val="20"/>
                                <w:vertAlign w:val="subscript"/>
                                <w:lang w:val="en-US"/>
                              </w:rPr>
                              <w:t>2</w:t>
                            </w:r>
                            <w:r>
                              <w:rPr>
                                <w:sz w:val="20"/>
                                <w:szCs w:val="20"/>
                                <w:vertAlign w:val="superscript"/>
                                <w:lang w:val="en-US"/>
                              </w:rPr>
                              <w:t>R</w:t>
                            </w:r>
                            <w:r>
                              <w:rPr>
                                <w:sz w:val="20"/>
                                <w:szCs w:val="20"/>
                                <w:lang w:val="en-US"/>
                              </w:rPr>
                              <w:t>=10.5us, on a transition with T</w:t>
                            </w:r>
                            <w:r>
                              <w:rPr>
                                <w:sz w:val="20"/>
                                <w:szCs w:val="20"/>
                                <w:vertAlign w:val="subscript"/>
                                <w:lang w:val="en-US"/>
                              </w:rPr>
                              <w:t>1</w:t>
                            </w:r>
                            <w:r>
                              <w:rPr>
                                <w:sz w:val="20"/>
                                <w:szCs w:val="20"/>
                                <w:lang w:val="en-US"/>
                              </w:rPr>
                              <w:t>=8.7us and T</w:t>
                            </w:r>
                            <w:r>
                              <w:rPr>
                                <w:sz w:val="20"/>
                                <w:szCs w:val="20"/>
                                <w:vertAlign w:val="subscript"/>
                                <w:lang w:val="en-US"/>
                              </w:rPr>
                              <w:t>2</w:t>
                            </w:r>
                            <w:r>
                              <w:rPr>
                                <w:sz w:val="20"/>
                                <w:szCs w:val="20"/>
                                <w:lang w:val="en-US"/>
                              </w:rPr>
                              <w:t>*=1.5us.</w:t>
                            </w:r>
                          </w:p>
                        </w:txbxContent>
                      </wps:txbx>
                      <wps:bodyPr lIns="45720" rIns="45720" anchor="t">
                        <a:noAutofit/>
                      </wps:bodyPr>
                    </wps:wsp>
                  </a:graphicData>
                </a:graphic>
              </wp:anchor>
            </w:drawing>
          </mc:Choice>
          <mc:Fallback>
            <w:pict>
              <v:rect id="shape_0" ID="officeArt object" path="m0,0l-2147483645,0l-2147483645,-2147483646l0,-2147483646xe" stroked="f" o:allowincell="f" style="position:absolute;margin-left:256.2pt;margin-top:5.45pt;width:194.15pt;height:37pt;mso-wrap-style:square;v-text-anchor:top">
                <v:fill o:detectmouseclick="t" on="false"/>
                <v:stroke color="#3465a4" weight="12600" joinstyle="miter" endcap="flat"/>
                <v:textbox>
                  <w:txbxContent>
                    <w:p>
                      <w:pPr>
                        <w:pStyle w:val="Caption"/>
                        <w:tabs>
                          <w:tab w:val="clear" w:pos="720"/>
                          <w:tab w:val="left" w:pos="1440" w:leader="none"/>
                          <w:tab w:val="left" w:pos="2880" w:leader="none"/>
                        </w:tabs>
                        <w:rPr/>
                      </w:pPr>
                      <w:r>
                        <w:rPr>
                          <w:sz w:val="20"/>
                          <w:szCs w:val="20"/>
                          <w:lang w:val="it-IT"/>
                        </w:rPr>
                        <w:t xml:space="preserve">Figure </w:t>
                      </w:r>
                      <w:r>
                        <w:rPr>
                          <w:sz w:val="20"/>
                          <w:szCs w:val="20"/>
                          <w:lang w:val="en-US"/>
                        </w:rPr>
                        <w:t>2:</w:t>
                      </w:r>
                      <w:r>
                        <w:rPr>
                          <w:sz w:val="20"/>
                          <w:szCs w:val="20"/>
                        </w:rPr>
                        <w:t xml:space="preserve"> </w:t>
                      </w:r>
                      <w:r>
                        <w:rPr>
                          <w:sz w:val="20"/>
                          <w:szCs w:val="20"/>
                          <w:lang w:val="en-US"/>
                        </w:rPr>
                        <w:t>Rabi chevron with T</w:t>
                      </w:r>
                      <w:r>
                        <w:rPr>
                          <w:sz w:val="20"/>
                          <w:szCs w:val="20"/>
                          <w:vertAlign w:val="subscript"/>
                          <w:lang w:val="en-US"/>
                        </w:rPr>
                        <w:t>2</w:t>
                      </w:r>
                      <w:r>
                        <w:rPr>
                          <w:sz w:val="20"/>
                          <w:szCs w:val="20"/>
                          <w:vertAlign w:val="superscript"/>
                          <w:lang w:val="en-US"/>
                        </w:rPr>
                        <w:t>R</w:t>
                      </w:r>
                      <w:r>
                        <w:rPr>
                          <w:sz w:val="20"/>
                          <w:szCs w:val="20"/>
                          <w:lang w:val="en-US"/>
                        </w:rPr>
                        <w:t>=10.5us, on a transition with T</w:t>
                      </w:r>
                      <w:r>
                        <w:rPr>
                          <w:sz w:val="20"/>
                          <w:szCs w:val="20"/>
                          <w:vertAlign w:val="subscript"/>
                          <w:lang w:val="en-US"/>
                        </w:rPr>
                        <w:t>1</w:t>
                      </w:r>
                      <w:r>
                        <w:rPr>
                          <w:sz w:val="20"/>
                          <w:szCs w:val="20"/>
                          <w:lang w:val="en-US"/>
                        </w:rPr>
                        <w:t>=8.7us and T</w:t>
                      </w:r>
                      <w:r>
                        <w:rPr>
                          <w:sz w:val="20"/>
                          <w:szCs w:val="20"/>
                          <w:vertAlign w:val="subscript"/>
                          <w:lang w:val="en-US"/>
                        </w:rPr>
                        <w:t>2</w:t>
                      </w:r>
                      <w:r>
                        <w:rPr>
                          <w:sz w:val="20"/>
                          <w:szCs w:val="20"/>
                          <w:lang w:val="en-US"/>
                        </w:rPr>
                        <w:t>*=1.5us.</w:t>
                      </w:r>
                    </w:p>
                  </w:txbxContent>
                </v:textbox>
                <w10:wrap type="square"/>
              </v:rect>
            </w:pict>
          </mc:Fallback>
        </mc:AlternateContent>
      </w:r>
    </w:p>
    <w:p>
      <w:pPr>
        <w:pStyle w:val="Caption1"/>
        <w:rPr/>
      </w:pPr>
      <w:r>
        <w:rPr/>
      </w:r>
    </w:p>
    <w:p>
      <w:pPr>
        <w:pStyle w:val="Caption1"/>
        <w:rPr/>
      </w:pPr>
      <w:r>
        <w:rPr>
          <w:rFonts w:eastAsia="Arial Unicode MS" w:cs="Arial Unicode MS"/>
        </w:rPr>
        <w:t xml:space="preserve">                                  </w:t>
      </w:r>
      <w:r>
        <w:rPr>
          <w:rFonts w:eastAsia="Arial Unicode MS" w:cs="Arial Unicode MS"/>
        </w:rPr>
        <w:tab/>
        <w:tab/>
        <w:tab/>
        <w:tab/>
        <w:tab/>
      </w:r>
    </w:p>
    <w:p>
      <w:pPr>
        <w:pStyle w:val="Reference"/>
        <w:rPr/>
      </w:pPr>
      <w:r>
        <w:rPr>
          <w:rFonts w:eastAsia="Arial Unicode MS" w:cs="Arial Unicode MS"/>
          <w:lang w:val="en-US"/>
        </w:rPr>
        <w:t xml:space="preserve">[1] Ma̧dzik </w:t>
      </w:r>
      <w:r>
        <w:rPr>
          <w:rFonts w:eastAsia="Arial Unicode MS" w:cs="Arial Unicode MS"/>
          <w:i/>
          <w:lang w:val="en-US"/>
        </w:rPr>
        <w:t>et al.</w:t>
      </w:r>
      <w:r>
        <w:rPr>
          <w:rFonts w:eastAsia="Arial Unicode MS" w:cs="Arial Unicode MS"/>
          <w:lang w:val="en-US"/>
        </w:rPr>
        <w:t xml:space="preserve">  </w:t>
      </w:r>
      <w:r>
        <w:rPr>
          <w:rFonts w:eastAsia="Arial Unicode MS" w:cs="Arial Unicode MS"/>
          <w:i/>
          <w:lang w:val="en-US"/>
        </w:rPr>
        <w:t>Nat Commun</w:t>
      </w:r>
      <w:r>
        <w:rPr>
          <w:rFonts w:eastAsia="Arial Unicode MS" w:cs="Arial Unicode MS"/>
          <w:lang w:val="en-US"/>
        </w:rPr>
        <w:t xml:space="preserve"> </w:t>
      </w:r>
      <w:r>
        <w:rPr>
          <w:rFonts w:eastAsia="Arial Unicode MS" w:cs="Arial Unicode MS"/>
          <w:b/>
          <w:lang w:val="en-US"/>
        </w:rPr>
        <w:t>12</w:t>
      </w:r>
      <w:r>
        <w:rPr>
          <w:rFonts w:eastAsia="Arial Unicode MS" w:cs="Arial Unicode MS"/>
          <w:lang w:val="en-US"/>
        </w:rPr>
        <w:t>, 181 (2021)</w:t>
      </w:r>
    </w:p>
    <w:p>
      <w:pPr>
        <w:pStyle w:val="Reference"/>
        <w:rPr/>
      </w:pPr>
      <w:r>
        <w:rPr>
          <w:rFonts w:eastAsia="Arial Unicode MS" w:cs="Arial Unicode MS"/>
          <w:lang w:val="en-US"/>
        </w:rPr>
        <w:t xml:space="preserve">[2] Yoneda </w:t>
      </w:r>
      <w:r>
        <w:rPr>
          <w:rFonts w:eastAsia="Arial Unicode MS" w:cs="Arial Unicode MS"/>
          <w:i/>
          <w:lang w:val="en-US"/>
        </w:rPr>
        <w:t>et al.</w:t>
      </w:r>
      <w:r>
        <w:rPr>
          <w:rFonts w:eastAsia="Arial Unicode MS" w:cs="Arial Unicode MS"/>
          <w:lang w:val="en-US"/>
        </w:rPr>
        <w:t xml:space="preserve">  </w:t>
      </w:r>
      <w:r>
        <w:rPr>
          <w:rFonts w:eastAsia="Arial Unicode MS" w:cs="Arial Unicode MS"/>
          <w:i/>
          <w:lang w:val="en-US"/>
        </w:rPr>
        <w:t>Nature Nanotech</w:t>
      </w:r>
      <w:r>
        <w:rPr>
          <w:rFonts w:eastAsia="Arial Unicode MS" w:cs="Arial Unicode MS"/>
          <w:lang w:val="en-US"/>
        </w:rPr>
        <w:t xml:space="preserve"> </w:t>
      </w:r>
      <w:r>
        <w:rPr>
          <w:rFonts w:eastAsia="Arial Unicode MS" w:cs="Arial Unicode MS"/>
          <w:b/>
          <w:lang w:val="en-US"/>
        </w:rPr>
        <w:t>13</w:t>
      </w:r>
      <w:r>
        <w:rPr>
          <w:rFonts w:eastAsia="Arial Unicode MS" w:cs="Arial Unicode MS"/>
          <w:lang w:val="en-US"/>
        </w:rPr>
        <w:t>, 102–106 (2018).</w:t>
      </w:r>
    </w:p>
    <w:sectPr>
      <w:headerReference w:type="default" r:id="rId4"/>
      <w:footerReference w:type="default" r:id="rId5"/>
      <w:type w:val="nextPage"/>
      <w:pgSz w:w="11906" w:h="16838"/>
      <w:pgMar w:left="1440" w:right="1440" w:gutter="0" w:header="708" w:top="1440" w:footer="708"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roman"/>
    <w:pitch w:val="variable"/>
  </w:font>
  <w:font w:name="Helvetica Neue">
    <w:charset w:val="01"/>
    <w:family w:val="roman"/>
    <w:pitch w:val="variable"/>
  </w:font>
  <w:font w:name="Arial">
    <w:charset w:val="01"/>
    <w:family w:val="roman"/>
    <w:pitch w:val="variable"/>
  </w:font>
  <w:font w:name="Times Roma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qFormat/>
    <w:pPr>
      <w:keepNext w:val="false"/>
      <w:keepLines w:val="false"/>
      <w:pageBreakBefore w:val="false"/>
      <w:widowControl/>
      <w:pBdr/>
      <w:shd w:val="clear" w:color="auto" w:fill="auto"/>
      <w:suppressAutoHyphens w:val="true"/>
      <w:bidi w:val="0"/>
      <w:spacing w:lineRule="auto" w:line="240" w:beforeAutospacing="0" w:before="0" w:afterAutospacing="0" w:after="0"/>
      <w:ind w:hanging="0" w:left="0" w:right="0"/>
      <w:jc w:val="left"/>
      <w:outlineLvl w:val="0"/>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36"/>
      <w:sz w:val="36"/>
      <w:szCs w:val="36"/>
      <w:u w:val="none" w:color="FFFFFF"/>
      <w:shd w:fill="auto" w:val="clear"/>
      <w:vertAlign w:val="baseline"/>
      <w:lang w:val="it-IT" w:eastAsia="zh-CN" w:bidi="hi-IN"/>
      <w14:textOutline w14:w="12700" w14:cap="flat">
        <w14:noFill/>
        <w14:miter w14:lim="400000"/>
      </w14:textOutline>
      <w14:textFill>
        <w14:solidFill>
          <w14:srgbClr w14:val="000000"/>
        </w14:solidFill>
      </w14:textFill>
    </w:rPr>
  </w:style>
  <w:style w:type="paragraph" w:styleId="Index">
    <w:name w:val="Index"/>
    <w:basedOn w:val="Normal"/>
    <w:qFormat/>
    <w:pPr>
      <w:suppressLineNumbers/>
    </w:pPr>
    <w:rPr>
      <w:rFonts w:cs="Arial Unicode M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Title">
    <w:name w:val="Title"/>
    <w:next w:val="Body"/>
    <w:qFormat/>
    <w:pPr>
      <w:keepNext w:val="false"/>
      <w:keepLines w:val="false"/>
      <w:pageBreakBefore w:val="false"/>
      <w:widowControl/>
      <w:pBdr/>
      <w:shd w:val="clear" w:color="auto" w:fill="auto"/>
      <w:suppressAutoHyphens w:val="false"/>
      <w:bidi w:val="0"/>
      <w:spacing w:lineRule="auto" w:line="240" w:beforeAutospacing="0" w:before="0" w:afterAutospacing="0" w:after="8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10"/>
      <w:w w:val="100"/>
      <w:kern w:val="2"/>
      <w:position w:val="0"/>
      <w:sz w:val="40"/>
      <w:sz w:val="40"/>
      <w:szCs w:val="40"/>
      <w:u w:val="none" w:color="000000"/>
      <w:shd w:fill="auto" w:val="clear"/>
      <w:vertAlign w:val="baseline"/>
      <w:lang w:val="en-US" w:eastAsia="zh-CN" w:bidi="hi-IN"/>
      <w14:textOutline>
        <w14:noFill/>
      </w14:textOutline>
      <w14:textFill>
        <w14:solidFill>
          <w14:srgbClr w14:val="000000"/>
        </w14:solidFill>
      </w14:textFill>
    </w:rPr>
  </w:style>
  <w:style w:type="paragraph" w:styleId="Body">
    <w:name w:val="Body"/>
    <w:qFormat/>
    <w:pPr>
      <w:keepNext w:val="false"/>
      <w:keepLines w:val="false"/>
      <w:pageBreakBefore w:val="false"/>
      <w:widowControl/>
      <w:pBdr/>
      <w:shd w:val="clear" w:color="auto" w:fill="auto"/>
      <w:suppressAutoHyphens w:val="false"/>
      <w:bidi w:val="0"/>
      <w:spacing w:lineRule="auto" w:line="259" w:beforeAutospacing="0" w:before="0" w:afterAutospacing="0" w:after="16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2"/>
      <w:sz w:val="22"/>
      <w:szCs w:val="22"/>
      <w:u w:val="none" w:color="000000"/>
      <w:shd w:fill="auto" w:val="clear"/>
      <w:vertAlign w:val="baseline"/>
      <w:lang w:val="en-US" w:eastAsia="zh-CN" w:bidi="hi-IN"/>
      <w14:textOutline>
        <w14:noFill/>
      </w14:textOutline>
      <w14:textFill>
        <w14:solidFill>
          <w14:srgbClr w14:val="000000"/>
        </w14:solidFill>
      </w14:textFill>
    </w:rPr>
  </w:style>
  <w:style w:type="paragraph" w:styleId="Authorlist">
    <w:name w:val="Author list"/>
    <w:qFormat/>
    <w:pPr>
      <w:keepNext w:val="false"/>
      <w:keepLines w:val="false"/>
      <w:pageBreakBefore w:val="false"/>
      <w:widowControl/>
      <w:pBdr/>
      <w:shd w:val="clear" w:color="auto" w:fill="auto"/>
      <w:suppressAutoHyphens w:val="false"/>
      <w:bidi w:val="0"/>
      <w:spacing w:lineRule="auto" w:line="259" w:beforeAutospacing="0" w:before="0" w:afterAutospacing="0" w:after="16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Affiliation">
    <w:name w:val="Affiliation"/>
    <w:qFormat/>
    <w:pPr>
      <w:keepNext w:val="false"/>
      <w:keepLines w:val="false"/>
      <w:pageBreakBefore w:val="false"/>
      <w:widowControl/>
      <w:pBdr/>
      <w:shd w:val="clear" w:color="auto" w:fill="auto"/>
      <w:suppressAutoHyphens w:val="false"/>
      <w:bidi w:val="0"/>
      <w:spacing w:lineRule="auto" w:line="259" w:beforeAutospacing="0" w:before="0" w:afterAutospacing="0" w:after="0"/>
      <w:ind w:hanging="0" w:left="0" w:right="0"/>
      <w:jc w:val="center"/>
    </w:pPr>
    <w:rPr>
      <w:rFonts w:ascii="Arial" w:hAnsi="Arial"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2"/>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Reference">
    <w:name w:val="Reference"/>
    <w:qFormat/>
    <w:pPr>
      <w:keepNext w:val="false"/>
      <w:keepLines w:val="false"/>
      <w:pageBreakBefore w:val="false"/>
      <w:widowControl/>
      <w:pBdr/>
      <w:shd w:val="clear" w:color="auto" w:fill="auto"/>
      <w:suppressAutoHyphens w:val="false"/>
      <w:bidi w:val="0"/>
      <w:spacing w:lineRule="auto" w:line="259" w:beforeAutospacing="0" w:before="0" w:afterAutospacing="0" w:after="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2"/>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Caption1">
    <w:name w:val="caption1"/>
    <w:next w:val="Body"/>
    <w:qFormat/>
    <w:pPr>
      <w:keepNext w:val="false"/>
      <w:keepLines w:val="false"/>
      <w:pageBreakBefore w:val="false"/>
      <w:widowControl/>
      <w:pBdr/>
      <w:shd w:val="clear" w:color="auto" w:fill="auto"/>
      <w:suppressAutoHyphens w:val="false"/>
      <w:bidi w:val="0"/>
      <w:spacing w:lineRule="auto" w:line="240" w:beforeAutospacing="0" w:before="0" w:afterAutospacing="0" w:after="200"/>
      <w:ind w:hanging="0" w:left="0" w:right="0"/>
      <w:jc w:val="center"/>
    </w:pPr>
    <w:rPr>
      <w:rFonts w:ascii="Arial" w:hAnsi="Arial" w:eastAsia="Arial" w:cs="Arial"/>
      <w:b w:val="false"/>
      <w:bCs w:val="false"/>
      <w:i/>
      <w:iCs/>
      <w:caps w:val="false"/>
      <w:smallCaps w:val="false"/>
      <w:strike w:val="false"/>
      <w:dstrike w:val="false"/>
      <w:outline w:val="false"/>
      <w:emboss w:val="false"/>
      <w:imprint w:val="false"/>
      <w:vanish w:val="false"/>
      <w:color w:val="000000"/>
      <w:spacing w:val="0"/>
      <w:w w:val="100"/>
      <w:kern w:val="2"/>
      <w:position w:val="0"/>
      <w:sz w:val="20"/>
      <w:sz w:val="20"/>
      <w:szCs w:val="20"/>
      <w:u w:val="none" w:color="000000"/>
      <w:shd w:fill="auto" w:val="clear"/>
      <w:vertAlign w:val="baseline"/>
      <w:lang w:val="en-US" w:eastAsia="zh-CN" w:bidi="hi-IN"/>
      <w14:textOutline>
        <w14:noFill/>
      </w14:textOutline>
      <w14:textFill>
        <w14:solidFill>
          <w14:srgbClr w14:val="000000"/>
        </w14:solidFill>
      </w14:textFill>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pitchFamily="0" charset="1"/>
        <a:ea typeface="Arial" pitchFamily="0" charset="1"/>
        <a:cs typeface="Arial"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53</TotalTime>
  <Application>LibreOffice/7.6.4.1$MacOSX_AARCH64 LibreOffice_project/e19e193f88cd6c0525a17fb7a176ed8e6a3e2aa1</Application>
  <AppVersion>15.0000</AppVersion>
  <Pages>1</Pages>
  <Words>323</Words>
  <Characters>1900</Characters>
  <CharactersWithSpaces>2256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Felix Krauth</cp:lastModifiedBy>
  <dcterms:modified xsi:type="dcterms:W3CDTF">2024-09-13T15:57:39Z</dcterms:modified>
  <cp:revision>2</cp:revision>
  <dc:subject/>
  <dc:title/>
</cp:coreProperties>
</file>