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5115" w14:textId="77777777" w:rsidR="007B5A34" w:rsidRDefault="007B5A34" w:rsidP="001E4F9A">
      <w:pPr>
        <w:pStyle w:val="Authorlist"/>
        <w:rPr>
          <w:rFonts w:eastAsiaTheme="majorEastAsia"/>
          <w:spacing w:val="-10"/>
          <w:kern w:val="28"/>
          <w:sz w:val="40"/>
          <w:szCs w:val="40"/>
        </w:rPr>
      </w:pPr>
      <w:r w:rsidRPr="007B5A34">
        <w:rPr>
          <w:rFonts w:eastAsiaTheme="majorEastAsia"/>
          <w:spacing w:val="-10"/>
          <w:kern w:val="28"/>
          <w:sz w:val="40"/>
          <w:szCs w:val="40"/>
        </w:rPr>
        <w:t>A 2D silicon quantum dot plaquette as a Fermi-Hubbard simulator</w:t>
      </w:r>
      <w:r w:rsidRPr="007B5A34">
        <w:rPr>
          <w:rFonts w:eastAsiaTheme="majorEastAsia" w:hint="eastAsia"/>
          <w:spacing w:val="-10"/>
          <w:kern w:val="28"/>
          <w:sz w:val="40"/>
          <w:szCs w:val="40"/>
        </w:rPr>
        <w:t xml:space="preserve"> </w:t>
      </w:r>
    </w:p>
    <w:p w14:paraId="4393ABC7" w14:textId="533902AC" w:rsidR="00C77156" w:rsidRPr="00C77156" w:rsidRDefault="007B5A34" w:rsidP="001E4F9A">
      <w:pPr>
        <w:pStyle w:val="Authorlist"/>
      </w:pPr>
      <w:r w:rsidRPr="007B5A34">
        <w:t>Jia-Min Kang, Ning Wang, Wen-Long Lu, Bao-</w:t>
      </w:r>
      <w:proofErr w:type="spellStart"/>
      <w:r w:rsidRPr="007B5A34">
        <w:t>Chuan</w:t>
      </w:r>
      <w:proofErr w:type="spellEnd"/>
      <w:r w:rsidRPr="007B5A34">
        <w:t xml:space="preserve"> Wang, Guo-Ping Guo</w:t>
      </w:r>
    </w:p>
    <w:p w14:paraId="1DD8B8BA" w14:textId="5E966127" w:rsidR="00C77156" w:rsidRPr="00C77156" w:rsidRDefault="007B5A34" w:rsidP="001E4F9A">
      <w:pPr>
        <w:pStyle w:val="Affiliation"/>
      </w:pPr>
      <w:r w:rsidRPr="007B5A34">
        <w:t xml:space="preserve">CAS Key Laboratory of Quantum Information, </w:t>
      </w:r>
      <w:bookmarkStart w:id="0" w:name="OLE_LINK1"/>
      <w:bookmarkStart w:id="1" w:name="OLE_LINK2"/>
      <w:r w:rsidRPr="007B5A34">
        <w:t>University of Science and Technology of China</w:t>
      </w:r>
      <w:bookmarkEnd w:id="0"/>
      <w:bookmarkEnd w:id="1"/>
    </w:p>
    <w:p w14:paraId="49373D7E" w14:textId="77777777" w:rsidR="00480AB4" w:rsidRDefault="00480AB4" w:rsidP="001E4F9A">
      <w:bookmarkStart w:id="2" w:name="_GoBack"/>
      <w:bookmarkEnd w:id="2"/>
    </w:p>
    <w:p w14:paraId="77FBE787" w14:textId="77777777" w:rsidR="00E30099" w:rsidRDefault="007B5A34" w:rsidP="00E30099">
      <w:pPr>
        <w:jc w:val="both"/>
        <w:rPr>
          <w:lang w:val="en-US"/>
        </w:rPr>
      </w:pPr>
      <w:r w:rsidRPr="007B5A34">
        <w:rPr>
          <w:lang w:val="en-US"/>
        </w:rPr>
        <w:t>Analog quantum simulation provides a powerful tool to investigate quantum man-body physics, especially in cases where traditional computational methods fall short. Silicon quantum dot systems play a particularly intriguing role in this field. They confine electrons or holes in a series of sites with electrostatically controlled gates, operating on the order of nanoseconds. The chemical potentials of these sites and the tunnel couplings between them can be tuned flexibly in a wide range. Especially, inter-particle interactions and spin interactions as well as their interplay at low temperature are sufficiently strong to be observed, which is generally difficult to manifest in other quantum simulators.</w:t>
      </w:r>
    </w:p>
    <w:p w14:paraId="0DED2F1D" w14:textId="1EA107C5" w:rsidR="007553E8" w:rsidRDefault="007B5A34" w:rsidP="00E30099">
      <w:pPr>
        <w:jc w:val="both"/>
      </w:pPr>
      <w:r w:rsidRPr="007B5A34">
        <w:rPr>
          <w:lang w:val="en-US"/>
        </w:rPr>
        <w:t>Here we present a highly controllable 2</w:t>
      </w:r>
      <m:oMath>
        <m:r>
          <m:rPr>
            <m:sty m:val="p"/>
          </m:rPr>
          <w:rPr>
            <w:rFonts w:ascii="Cambria Math" w:hAnsi="Cambria Math"/>
            <w:lang w:val="en-US"/>
          </w:rPr>
          <m:t>×</m:t>
        </m:r>
      </m:oMath>
      <w:r w:rsidRPr="007B5A34">
        <w:rPr>
          <w:lang w:val="en-US"/>
        </w:rPr>
        <w:t xml:space="preserve">2 quantum dot plaquette fabricated on an undoped Si/SiGe heterostructure. We demonstrate that all four dots can be depleted to the single-electron occupancy, and the four pairs of nearest-neighbor tunnel coupling, denoted as </w:t>
      </w:r>
      <m:oMath>
        <m:r>
          <w:rPr>
            <w:rFonts w:ascii="Cambria Math" w:hAnsi="Cambria Math"/>
            <w:lang w:val="en-US"/>
          </w:rPr>
          <m:t>t</m:t>
        </m:r>
      </m:oMath>
      <w:r w:rsidRPr="007B5A34">
        <w:rPr>
          <w:rFonts w:hint="eastAsia"/>
          <w:lang w:val="en-US"/>
        </w:rPr>
        <w:t>,</w:t>
      </w:r>
      <w:r w:rsidRPr="007B5A34">
        <w:rPr>
          <w:lang w:val="en-US"/>
        </w:rPr>
        <w:t xml:space="preserve"> can be independently tuned over a broad range. Besides, the next-nearest-neighbor tunnel couplings between (anti-)diagonal dots, denoted as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</m:oMath>
      <w:r w:rsidRPr="007B5A34">
        <w:rPr>
          <w:rFonts w:hint="eastAsia"/>
          <w:lang w:val="en-US"/>
        </w:rPr>
        <w:t>,</w:t>
      </w:r>
      <w:r w:rsidRPr="007B5A34">
        <w:rPr>
          <w:lang w:val="en-US"/>
        </w:rPr>
        <w:t xml:space="preserve"> can be tuned from close to zero to a relatively large value. As a result, the anisotropy ratio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/t</m:t>
        </m:r>
      </m:oMath>
      <w:r w:rsidRPr="007B5A34">
        <w:rPr>
          <w:lang w:val="en-US"/>
        </w:rPr>
        <w:t xml:space="preserve"> of the system can attain a maximum above 4, which indicates the geometry can be continuously transformed from a square lattice for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/t</m:t>
        </m:r>
        <m:r>
          <m:rPr>
            <m:sty m:val="p"/>
          </m:rPr>
          <w:rPr>
            <w:rFonts w:ascii="Cambria Math" w:hAnsi="Cambria Math"/>
            <w:lang w:val="en-US"/>
          </w:rPr>
          <m:t>~</m:t>
        </m:r>
      </m:oMath>
      <w:r w:rsidRPr="007B5A34">
        <w:rPr>
          <w:lang w:val="en-US"/>
        </w:rPr>
        <w:t xml:space="preserve">0 into an isotropic triangular lattice at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/t</m:t>
        </m:r>
        <m:r>
          <m:rPr>
            <m:sty m:val="p"/>
          </m:rPr>
          <w:rPr>
            <w:rFonts w:ascii="Cambria Math" w:hAnsi="Cambria Math"/>
            <w:lang w:val="en-US"/>
          </w:rPr>
          <m:t>~</m:t>
        </m:r>
      </m:oMath>
      <w:r w:rsidRPr="007B5A34">
        <w:rPr>
          <w:lang w:val="en-US"/>
        </w:rPr>
        <w:t xml:space="preserve">1. Since electrons in quantum dots are able to reach the strongly correlated regime even at extremely low temperatures, our device has offered a promising simulation platform to get an insight into the quantum magnetic phase transition such as </w:t>
      </w:r>
      <w:proofErr w:type="gramStart"/>
      <w:r w:rsidRPr="007B5A34">
        <w:rPr>
          <w:lang w:val="en-US"/>
        </w:rPr>
        <w:t>frustration</w:t>
      </w:r>
      <w:r w:rsidR="00FC34F4" w:rsidRPr="00FC34F4">
        <w:rPr>
          <w:vertAlign w:val="superscript"/>
          <w:lang w:val="en-US"/>
        </w:rPr>
        <w:t>[</w:t>
      </w:r>
      <w:proofErr w:type="gramEnd"/>
      <w:r w:rsidR="00FC34F4" w:rsidRPr="00FC34F4">
        <w:rPr>
          <w:vertAlign w:val="superscript"/>
          <w:lang w:val="en-US"/>
        </w:rPr>
        <w:t>1]</w:t>
      </w:r>
      <w:r w:rsidRPr="007B5A34">
        <w:rPr>
          <w:lang w:val="en-US"/>
        </w:rPr>
        <w:t xml:space="preserve"> and Nagaoka</w:t>
      </w:r>
      <w:r w:rsidR="00E30099">
        <w:rPr>
          <w:lang w:val="en-US"/>
        </w:rPr>
        <w:t xml:space="preserve"> </w:t>
      </w:r>
      <w:r w:rsidRPr="007B5A34">
        <w:rPr>
          <w:lang w:val="en-US"/>
        </w:rPr>
        <w:t>ferromagnetism</w:t>
      </w:r>
      <w:r w:rsidR="00FC34F4" w:rsidRPr="00FC34F4">
        <w:rPr>
          <w:vertAlign w:val="superscript"/>
          <w:lang w:val="en-US"/>
        </w:rPr>
        <w:t>[2]</w:t>
      </w:r>
      <w:r w:rsidRPr="007B5A34">
        <w:rPr>
          <w:lang w:val="en-US"/>
        </w:rPr>
        <w:t>.</w:t>
      </w:r>
      <w:r w:rsidR="00E30099">
        <w:t xml:space="preserve"> </w:t>
      </w:r>
    </w:p>
    <w:p w14:paraId="15F73939" w14:textId="77777777" w:rsidR="007553E8" w:rsidRDefault="007553E8" w:rsidP="007553E8">
      <w:pPr>
        <w:pStyle w:val="Reference"/>
        <w:rPr>
          <w:rFonts w:hint="eastAsia"/>
        </w:rPr>
      </w:pPr>
    </w:p>
    <w:p w14:paraId="37E1E76D" w14:textId="733A5756" w:rsidR="00224950" w:rsidRPr="007553E8" w:rsidRDefault="00A322E1" w:rsidP="007553E8">
      <w:pPr>
        <w:pStyle w:val="Reference"/>
      </w:pPr>
      <w:r w:rsidRPr="007553E8">
        <w:rPr>
          <w:rFonts w:hint="eastAsia"/>
        </w:rPr>
        <w:t xml:space="preserve">[1] </w:t>
      </w:r>
      <w:r w:rsidR="00FC34F4" w:rsidRPr="00FC34F4">
        <w:t xml:space="preserve">Xu, </w:t>
      </w:r>
      <w:proofErr w:type="spellStart"/>
      <w:r w:rsidR="00FC34F4" w:rsidRPr="00FC34F4">
        <w:t>Muqing</w:t>
      </w:r>
      <w:proofErr w:type="spellEnd"/>
      <w:r w:rsidR="00FC34F4" w:rsidRPr="00FC34F4">
        <w:t>, et al. "Frustration-and doping-induced magnetism in a Fermi–Hubbard simulator." Nature 620.7976 (2023): 971-976.</w:t>
      </w:r>
    </w:p>
    <w:p w14:paraId="47B56DBA" w14:textId="60B9B5D4" w:rsidR="00224950" w:rsidRPr="00C77156" w:rsidRDefault="00CE11C9" w:rsidP="00E30099">
      <w:pPr>
        <w:pStyle w:val="Reference"/>
        <w:rPr>
          <w:rFonts w:hint="eastAsia"/>
        </w:rPr>
      </w:pPr>
      <w:r w:rsidRPr="007553E8">
        <w:rPr>
          <w:rFonts w:hint="eastAsia"/>
        </w:rPr>
        <w:t xml:space="preserve">[2] </w:t>
      </w:r>
      <w:proofErr w:type="spellStart"/>
      <w:r w:rsidR="00FC34F4" w:rsidRPr="00FC34F4">
        <w:rPr>
          <w:iCs/>
        </w:rPr>
        <w:t>Dehollain</w:t>
      </w:r>
      <w:proofErr w:type="spellEnd"/>
      <w:r w:rsidR="00FC34F4" w:rsidRPr="00FC34F4">
        <w:rPr>
          <w:iCs/>
        </w:rPr>
        <w:t>, Juan P., et al. "Nagaoka ferromagnetism observed in a quantum dot plaquette." Nature 579.7800 (2020): 528-533.</w:t>
      </w:r>
    </w:p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5CEA3" w14:textId="77777777" w:rsidR="007E1142" w:rsidRDefault="007E1142" w:rsidP="00CE15CF">
      <w:pPr>
        <w:spacing w:after="0" w:line="240" w:lineRule="auto"/>
      </w:pPr>
      <w:r>
        <w:separator/>
      </w:r>
    </w:p>
  </w:endnote>
  <w:endnote w:type="continuationSeparator" w:id="0">
    <w:p w14:paraId="7A5E6368" w14:textId="77777777" w:rsidR="007E1142" w:rsidRDefault="007E1142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0DBE" w14:textId="77777777" w:rsidR="007E1142" w:rsidRDefault="007E1142" w:rsidP="00CE15CF">
      <w:pPr>
        <w:spacing w:after="0" w:line="240" w:lineRule="auto"/>
      </w:pPr>
      <w:r>
        <w:separator/>
      </w:r>
    </w:p>
  </w:footnote>
  <w:footnote w:type="continuationSeparator" w:id="0">
    <w:p w14:paraId="2330B7F5" w14:textId="77777777" w:rsidR="007E1142" w:rsidRDefault="007E1142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4F9A"/>
    <w:rsid w:val="00224950"/>
    <w:rsid w:val="00310969"/>
    <w:rsid w:val="00354FC6"/>
    <w:rsid w:val="003B5A75"/>
    <w:rsid w:val="00480AB4"/>
    <w:rsid w:val="004C18D2"/>
    <w:rsid w:val="00514895"/>
    <w:rsid w:val="00573209"/>
    <w:rsid w:val="0069213C"/>
    <w:rsid w:val="00694951"/>
    <w:rsid w:val="00751E64"/>
    <w:rsid w:val="007553E8"/>
    <w:rsid w:val="007B47C9"/>
    <w:rsid w:val="007B5A34"/>
    <w:rsid w:val="007E1142"/>
    <w:rsid w:val="00A00D9F"/>
    <w:rsid w:val="00A322E1"/>
    <w:rsid w:val="00A50716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E30099"/>
    <w:rsid w:val="00EA0133"/>
    <w:rsid w:val="00EE472A"/>
    <w:rsid w:val="00F30FBB"/>
    <w:rsid w:val="00F72151"/>
    <w:rsid w:val="00F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a4">
    <w:name w:val="标题 字符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5">
    <w:name w:val="Subtitle"/>
    <w:basedOn w:val="a"/>
    <w:next w:val="a"/>
    <w:link w:val="a6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semiHidden/>
    <w:rsid w:val="00C7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a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semiHidden/>
    <w:rsid w:val="00C77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e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f">
    <w:name w:val="header"/>
    <w:basedOn w:val="a"/>
    <w:link w:val="af0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CE15CF"/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C14CC1-678B-4E1F-8758-09E8A6BC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328</Words>
  <Characters>1866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Jiamin Kang</cp:lastModifiedBy>
  <cp:revision>30</cp:revision>
  <dcterms:created xsi:type="dcterms:W3CDTF">2024-05-21T00:35:00Z</dcterms:created>
  <dcterms:modified xsi:type="dcterms:W3CDTF">2024-09-01T07:21:00Z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