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rPr/>
      </w:pPr>
      <w:r>
        <w:rPr/>
        <w:t>Optimising radio-frequency integration time for Hamiltonian estimation</w:t>
      </w:r>
    </w:p>
    <w:p>
      <w:pPr>
        <w:pStyle w:val="Authorlist"/>
        <w:rPr/>
      </w:pPr>
      <w:r>
        <w:rPr/>
        <w:t>Jacob Benestad</w:t>
      </w:r>
      <w:r>
        <w:rPr>
          <w:vertAlign w:val="superscript"/>
        </w:rPr>
        <w:t>1</w:t>
      </w:r>
      <w:r>
        <w:rPr/>
        <w:t xml:space="preserve">, </w:t>
      </w:r>
      <w:r>
        <w:rPr/>
        <w:t>Jan A. Krzywda</w:t>
      </w:r>
      <w:r>
        <w:rPr>
          <w:vertAlign w:val="superscript"/>
        </w:rPr>
        <w:t>2</w:t>
      </w:r>
      <w:r>
        <w:rPr/>
        <w:t xml:space="preserve">, </w:t>
      </w:r>
      <w:r>
        <w:rPr/>
        <w:t>Fabrizio Berritta</w:t>
      </w:r>
      <w:r>
        <w:rPr>
          <w:vertAlign w:val="superscript"/>
        </w:rPr>
        <w:t>3</w:t>
      </w:r>
      <w:r>
        <w:rPr/>
        <w:t xml:space="preserve">, </w:t>
      </w:r>
      <w:r>
        <w:rPr/>
        <w:t>Torbjørn Rasmussen</w:t>
      </w:r>
      <w:r>
        <w:rPr>
          <w:vertAlign w:val="superscript"/>
        </w:rPr>
        <w:t>3,4</w:t>
      </w:r>
      <w:r>
        <w:rPr>
          <w:position w:val="0"/>
          <w:sz w:val="22"/>
          <w:vertAlign w:val="baseline"/>
        </w:rPr>
        <w:t xml:space="preserve">, </w:t>
      </w:r>
      <w:r>
        <w:rPr>
          <w:position w:val="0"/>
          <w:sz w:val="22"/>
          <w:vertAlign w:val="baseline"/>
        </w:rPr>
        <w:t>Anasua Chatterjee</w:t>
      </w:r>
      <w:r>
        <w:rPr>
          <w:vertAlign w:val="superscript"/>
        </w:rPr>
        <w:t>4</w:t>
      </w:r>
      <w:r>
        <w:rPr>
          <w:position w:val="0"/>
          <w:sz w:val="22"/>
          <w:vertAlign w:val="baseline"/>
        </w:rPr>
        <w:t xml:space="preserve">, </w:t>
      </w:r>
      <w:r>
        <w:rPr>
          <w:position w:val="0"/>
          <w:sz w:val="22"/>
          <w:vertAlign w:val="baseline"/>
        </w:rPr>
        <w:t>Ferdinand Kuemmeth</w:t>
      </w:r>
      <w:r>
        <w:rPr>
          <w:vertAlign w:val="superscript"/>
        </w:rPr>
        <w:t>3</w:t>
      </w:r>
      <w:r>
        <w:rPr>
          <w:position w:val="0"/>
          <w:sz w:val="22"/>
          <w:vertAlign w:val="baseline"/>
        </w:rPr>
        <w:t xml:space="preserve">, </w:t>
      </w:r>
      <w:r>
        <w:rPr>
          <w:position w:val="0"/>
          <w:sz w:val="22"/>
          <w:vertAlign w:val="baseline"/>
        </w:rPr>
        <w:t>Evert van Nieuwenburg</w:t>
      </w:r>
      <w:r>
        <w:rPr>
          <w:vertAlign w:val="superscript"/>
        </w:rPr>
        <w:t>2</w:t>
      </w:r>
      <w:r>
        <w:rPr>
          <w:position w:val="0"/>
          <w:sz w:val="22"/>
          <w:vertAlign w:val="baseline"/>
        </w:rPr>
        <w:t xml:space="preserve">, </w:t>
      </w:r>
      <w:r>
        <w:rPr>
          <w:position w:val="0"/>
          <w:sz w:val="22"/>
          <w:vertAlign w:val="baseline"/>
        </w:rPr>
        <w:t>Oswin Krause</w:t>
      </w:r>
      <w:r>
        <w:rPr>
          <w:vertAlign w:val="superscript"/>
        </w:rPr>
        <w:t>3</w:t>
      </w:r>
      <w:r>
        <w:rPr>
          <w:position w:val="0"/>
          <w:sz w:val="22"/>
          <w:vertAlign w:val="baseline"/>
        </w:rPr>
        <w:t xml:space="preserve">, </w:t>
      </w:r>
      <w:r>
        <w:rPr>
          <w:position w:val="0"/>
          <w:sz w:val="22"/>
          <w:vertAlign w:val="baseline"/>
        </w:rPr>
        <w:t>Jeroen Danon</w:t>
      </w:r>
      <w:r>
        <w:rPr>
          <w:vertAlign w:val="superscript"/>
        </w:rPr>
        <w:t>1</w:t>
      </w:r>
    </w:p>
    <w:p>
      <w:pPr>
        <w:pStyle w:val="Affiliation"/>
        <w:rPr/>
      </w:pPr>
      <w:r>
        <w:rPr>
          <w:iCs/>
          <w:vertAlign w:val="superscript"/>
        </w:rPr>
        <w:t>1</w:t>
      </w:r>
      <w:r>
        <w:rPr/>
        <w:t>Center for Quantum Spintronics, Department of Physics, Norwegian University of Science and Technology, NO-7491 Trondheim, Norway</w:t>
      </w:r>
    </w:p>
    <w:p>
      <w:pPr>
        <w:pStyle w:val="Affiliation"/>
        <w:rPr/>
      </w:pPr>
      <w:r>
        <w:rPr>
          <w:iCs/>
          <w:vertAlign w:val="superscript"/>
        </w:rPr>
        <w:t>2</w:t>
      </w:r>
      <w:r>
        <w:rPr/>
        <w:t>Lorentz Institute and Leiden Institute of Advanced Computer Science, Leiden University, P.O. Box 9506, 2300 RA Leiden, The Netherlands</w:t>
      </w:r>
    </w:p>
    <w:p>
      <w:pPr>
        <w:pStyle w:val="Affiliation"/>
        <w:rPr/>
      </w:pPr>
      <w:r>
        <w:rPr>
          <w:iCs/>
          <w:vertAlign w:val="superscript"/>
        </w:rPr>
        <w:t>3</w:t>
      </w:r>
      <w:r>
        <w:rPr/>
        <w:t>Center for Quantum Devices, Niels Bohr Institute, University of Copenhagen, 2100 Copenhagen, Denmark</w:t>
      </w:r>
    </w:p>
    <w:p>
      <w:pPr>
        <w:pStyle w:val="Affiliation"/>
        <w:rPr/>
      </w:pPr>
      <w:r>
        <w:rPr>
          <w:iCs/>
          <w:vertAlign w:val="superscript"/>
        </w:rPr>
        <w:t>4</w:t>
      </w:r>
      <w:r>
        <w:rPr/>
        <w:t>QuTech and Kavli Institute of Nanoscience, Delft University of Technology, 2600 GA Delft, The Netherlands</w:t>
      </w:r>
    </w:p>
    <w:p>
      <w:pPr>
        <w:pStyle w:val="Normal"/>
        <w:rPr/>
      </w:pPr>
      <w:r>
        <w:rPr/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We investigate how to find optimal strategies for choosing radio-frequency reflectometry integration times to balance the trade-off between </w:t>
      </w:r>
      <w:r>
        <w:rPr>
          <w:b w:val="false"/>
          <w:bCs w:val="false"/>
        </w:rPr>
        <w:t>smaller single-shot errors</w:t>
      </w:r>
      <w:r>
        <w:rPr>
          <w:b w:val="false"/>
          <w:bCs w:val="false"/>
        </w:rPr>
        <w:t xml:space="preserve"> </w:t>
      </w:r>
      <w:r>
        <w:rPr>
          <w:b w:val="false"/>
          <w:bCs w:val="false"/>
        </w:rPr>
        <w:t>versus</w:t>
      </w:r>
      <w:r>
        <w:rPr>
          <w:b w:val="false"/>
          <w:bCs w:val="false"/>
        </w:rPr>
        <w:t xml:space="preserve"> </w:t>
      </w:r>
      <w:r>
        <w:rPr>
          <w:b w:val="false"/>
          <w:bCs w:val="false"/>
        </w:rPr>
        <w:t>performing</w:t>
      </w:r>
      <w:r>
        <w:rPr>
          <w:b w:val="false"/>
          <w:bCs w:val="false"/>
        </w:rPr>
        <w:t xml:space="preserve"> </w:t>
      </w:r>
      <w:r>
        <w:rPr>
          <w:b w:val="false"/>
          <w:bCs w:val="false"/>
        </w:rPr>
        <w:t>a bigger number of single-shot measurements</w:t>
      </w:r>
      <w:r>
        <w:rPr>
          <w:b w:val="false"/>
          <w:bCs w:val="false"/>
        </w:rPr>
        <w:t xml:space="preserve">, </w:t>
      </w:r>
      <w:r>
        <w:rPr>
          <w:b w:val="false"/>
          <w:bCs w:val="false"/>
        </w:rPr>
        <w:t xml:space="preserve">specifically in the context of Hamiltonian estimation experiments </w:t>
      </w:r>
      <w:r>
        <w:rPr>
          <w:b w:val="false"/>
          <w:bCs w:val="false"/>
        </w:rPr>
        <w:t>for spin qubits</w:t>
      </w:r>
      <w:r>
        <w:rPr>
          <w:b w:val="false"/>
          <w:bCs w:val="false"/>
        </w:rPr>
        <w:t xml:space="preserve">. </w:t>
      </w:r>
      <w:r>
        <w:rPr>
          <w:b w:val="false"/>
          <w:bCs w:val="false"/>
        </w:rPr>
        <w:t>Bayesian statistics is a powerful tool for such estimation based on readout measurements, typically after classifying based on a threshold, although a more complete method can easily be made by considering the raw data [1]</w:t>
      </w:r>
      <w:r>
        <w:rPr>
          <w:b w:val="false"/>
          <w:bCs w:val="false"/>
        </w:rPr>
        <w:t xml:space="preserve">. </w:t>
      </w:r>
      <w:r>
        <w:rPr>
          <w:b w:val="false"/>
          <w:bCs w:val="false"/>
        </w:rPr>
        <w:t xml:space="preserve">Building a statistical model for demodulated radio-frequency signal measurements, the pulse integration time can be incorporated into a Bayesian inference framework based either on </w:t>
      </w:r>
      <w:r>
        <w:rPr>
          <w:b w:val="false"/>
          <w:bCs w:val="false"/>
        </w:rPr>
        <w:t>thresholded</w:t>
      </w:r>
      <w:r>
        <w:rPr>
          <w:b w:val="false"/>
          <w:bCs w:val="false"/>
        </w:rPr>
        <w:t xml:space="preserve"> binary measurements </w:t>
      </w:r>
      <w:r>
        <w:rPr>
          <w:b w:val="false"/>
          <w:bCs w:val="false"/>
        </w:rPr>
        <w:t xml:space="preserve">or the raw signal itself, </w:t>
      </w:r>
      <w:r>
        <w:rPr>
          <w:b w:val="false"/>
          <w:bCs w:val="false"/>
        </w:rPr>
        <w:t xml:space="preserve">from which an optimal value can be found numerically in simulations with analytical solutions available for posterior </w:t>
      </w:r>
      <w:r>
        <w:rPr>
          <w:b w:val="false"/>
          <w:bCs w:val="false"/>
        </w:rPr>
        <w:t>distributions</w:t>
      </w:r>
      <w:r>
        <w:rPr>
          <w:b w:val="false"/>
          <w:bCs w:val="false"/>
        </w:rPr>
        <w:t xml:space="preserve"> approximised as Gaussians. </w:t>
      </w:r>
    </w:p>
    <w:p>
      <w:pPr>
        <w:pStyle w:val="Normal"/>
        <w:rPr/>
      </w:pPr>
      <w:r>
        <w:rPr/>
      </w:r>
    </w:p>
    <w:p>
      <w:pPr>
        <w:pStyle w:val="Normal"/>
        <w:spacing w:before="0" w:after="160"/>
        <w:rPr/>
      </w:pPr>
      <w:r>
        <w:rPr/>
        <w:t xml:space="preserve">[1] Dinani et al. (2019), </w:t>
      </w:r>
      <w:r>
        <w:rPr/>
        <w:t xml:space="preserve">Phys. Rev. B </w:t>
      </w:r>
      <w:r>
        <w:rPr>
          <w:b/>
        </w:rPr>
        <w:t>99</w:t>
      </w:r>
      <w:r>
        <w:rPr/>
        <w:t>, 125413</w:t>
      </w:r>
    </w:p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新細明體" w:cs="DejaVu Sans"/>
        <w:kern w:val="2"/>
        <w:sz w:val="22"/>
        <w:szCs w:val="22"/>
        <w:lang w:val="en-AU" w:eastAsia="zh-TW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  <w:spacing w:lineRule="auto" w:line="259" w:before="0" w:after="160"/>
      <w:jc w:val="left"/>
    </w:pPr>
    <w:rPr>
      <w:rFonts w:ascii="Arial" w:hAnsi="Arial" w:cs="Arial" w:eastAsia="新細明體"/>
      <w:color w:val="auto"/>
      <w:kern w:val="2"/>
      <w:sz w:val="22"/>
      <w:szCs w:val="22"/>
      <w:lang w:val="en-AU" w:eastAsia="zh-TW" w:bidi="ar-SA"/>
    </w:rPr>
  </w:style>
  <w:style w:type="paragraph" w:styleId="Heading1">
    <w:name w:val="Heading 1"/>
    <w:basedOn w:val="Normal"/>
    <w:next w:val="Normal"/>
    <w:link w:val="Heading1Char"/>
    <w:qFormat/>
    <w:pPr>
      <w:keepNext w:val="true"/>
      <w:keepLines/>
      <w:numPr>
        <w:ilvl w:val="0"/>
        <w:numId w:val="0"/>
      </w:numPr>
      <w:spacing w:before="360" w:after="80"/>
      <w:outlineLvl w:val="0"/>
    </w:pPr>
    <w:rPr>
      <w:rFonts w:ascii="Calibri Light" w:hAnsi="Calibri Light" w:eastAsia="新細明體" w:cs="DejaVu Sans"/>
      <w:color w:val="2F5496"/>
      <w:sz w:val="40"/>
      <w:szCs w:val="40"/>
    </w:rPr>
  </w:style>
  <w:style w:type="paragraph" w:styleId="Heading2">
    <w:name w:val="Heading 2"/>
    <w:basedOn w:val="Normal"/>
    <w:next w:val="Normal"/>
    <w:link w:val="Heading2Char"/>
    <w:qFormat/>
    <w:pPr>
      <w:keepNext w:val="true"/>
      <w:keepLines/>
      <w:numPr>
        <w:ilvl w:val="0"/>
        <w:numId w:val="0"/>
      </w:numPr>
      <w:spacing w:before="160" w:after="80"/>
      <w:outlineLvl w:val="1"/>
    </w:pPr>
    <w:rPr>
      <w:rFonts w:ascii="Calibri Light" w:hAnsi="Calibri Light" w:eastAsia="新細明體" w:cs="DejaVu Sans"/>
      <w:color w:val="2F5496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pPr>
      <w:keepNext w:val="true"/>
      <w:keepLines/>
      <w:numPr>
        <w:ilvl w:val="0"/>
        <w:numId w:val="0"/>
      </w:numPr>
      <w:spacing w:before="160" w:after="80"/>
      <w:outlineLvl w:val="2"/>
    </w:pPr>
    <w:rPr>
      <w:rFonts w:eastAsia="新細明體" w:cs="DejaVu Sans"/>
      <w:color w:val="2F5496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pPr>
      <w:keepNext w:val="true"/>
      <w:keepLines/>
      <w:numPr>
        <w:ilvl w:val="0"/>
        <w:numId w:val="0"/>
      </w:numPr>
      <w:spacing w:before="80" w:after="40"/>
      <w:outlineLvl w:val="3"/>
    </w:pPr>
    <w:rPr>
      <w:rFonts w:eastAsia="新細明體" w:cs="DejaVu Sans"/>
      <w:i/>
      <w:iCs/>
      <w:color w:val="2F5496"/>
    </w:rPr>
  </w:style>
  <w:style w:type="paragraph" w:styleId="Heading5">
    <w:name w:val="Heading 5"/>
    <w:basedOn w:val="Normal"/>
    <w:next w:val="Normal"/>
    <w:link w:val="Heading5Char"/>
    <w:qFormat/>
    <w:pPr>
      <w:keepNext w:val="true"/>
      <w:keepLines/>
      <w:numPr>
        <w:ilvl w:val="0"/>
        <w:numId w:val="0"/>
      </w:numPr>
      <w:spacing w:before="80" w:after="40"/>
      <w:outlineLvl w:val="4"/>
    </w:pPr>
    <w:rPr>
      <w:rFonts w:eastAsia="新細明體" w:cs="DejaVu Sans"/>
      <w:color w:val="2F5496"/>
    </w:rPr>
  </w:style>
  <w:style w:type="paragraph" w:styleId="Heading6">
    <w:name w:val="Heading 6"/>
    <w:basedOn w:val="Normal"/>
    <w:next w:val="Normal"/>
    <w:link w:val="Heading6Char"/>
    <w:qFormat/>
    <w:pPr>
      <w:keepNext w:val="true"/>
      <w:keepLines/>
      <w:numPr>
        <w:ilvl w:val="0"/>
        <w:numId w:val="0"/>
      </w:numPr>
      <w:spacing w:before="40" w:after="0"/>
      <w:outlineLvl w:val="5"/>
    </w:pPr>
    <w:rPr>
      <w:rFonts w:eastAsia="新細明體" w:cs="DejaVu Sans"/>
      <w:i/>
      <w:iCs/>
      <w:color w:val="595959"/>
    </w:rPr>
  </w:style>
  <w:style w:type="paragraph" w:styleId="Heading7">
    <w:name w:val="Heading 7"/>
    <w:basedOn w:val="Normal"/>
    <w:next w:val="Normal"/>
    <w:link w:val="Heading7Char"/>
    <w:qFormat/>
    <w:pPr>
      <w:keepNext w:val="true"/>
      <w:keepLines/>
      <w:numPr>
        <w:ilvl w:val="0"/>
        <w:numId w:val="0"/>
      </w:numPr>
      <w:spacing w:before="40" w:after="0"/>
      <w:outlineLvl w:val="6"/>
    </w:pPr>
    <w:rPr>
      <w:rFonts w:eastAsia="新細明體" w:cs="DejaVu Sans"/>
      <w:color w:val="595959"/>
    </w:rPr>
  </w:style>
  <w:style w:type="paragraph" w:styleId="Heading8">
    <w:name w:val="Heading 8"/>
    <w:basedOn w:val="Normal"/>
    <w:next w:val="Normal"/>
    <w:link w:val="Heading8Char"/>
    <w:qFormat/>
    <w:pPr>
      <w:keepNext w:val="true"/>
      <w:keepLines/>
      <w:numPr>
        <w:ilvl w:val="0"/>
        <w:numId w:val="0"/>
      </w:numPr>
      <w:spacing w:before="0" w:after="0"/>
      <w:outlineLvl w:val="7"/>
    </w:pPr>
    <w:rPr>
      <w:rFonts w:eastAsia="新細明體" w:cs="DejaVu Sans"/>
      <w:i/>
      <w:iCs/>
      <w:color w:val="272727"/>
    </w:rPr>
  </w:style>
  <w:style w:type="paragraph" w:styleId="Heading9">
    <w:name w:val="Heading 9"/>
    <w:basedOn w:val="Normal"/>
    <w:next w:val="Normal"/>
    <w:link w:val="Heading9Char"/>
    <w:qFormat/>
    <w:pPr>
      <w:keepNext w:val="true"/>
      <w:keepLines/>
      <w:numPr>
        <w:ilvl w:val="0"/>
        <w:numId w:val="0"/>
      </w:numPr>
      <w:spacing w:before="0" w:after="0"/>
      <w:outlineLvl w:val="8"/>
    </w:pPr>
    <w:rPr>
      <w:rFonts w:eastAsia="新細明體" w:cs="DejaVu Sans"/>
      <w:color w:val="272727"/>
    </w:rPr>
  </w:style>
  <w:style w:type="character" w:styleId="DefaultParagraphFont">
    <w:name w:val="Default Paragraph Font"/>
    <w:qFormat/>
    <w:rPr/>
  </w:style>
  <w:style w:type="character" w:styleId="Heading1Char">
    <w:name w:val="Heading 1 Char"/>
    <w:basedOn w:val="DefaultParagraphFont"/>
    <w:link w:val="Heading1"/>
    <w:qFormat/>
    <w:rPr>
      <w:rFonts w:ascii="Calibri Light" w:hAnsi="Calibri Light" w:eastAsia="新細明體" w:cs="DejaVu Sans"/>
      <w:color w:val="2F5496"/>
      <w:sz w:val="40"/>
      <w:szCs w:val="40"/>
    </w:rPr>
  </w:style>
  <w:style w:type="character" w:styleId="Heading2Char">
    <w:name w:val="Heading 2 Char"/>
    <w:basedOn w:val="DefaultParagraphFont"/>
    <w:link w:val="Heading2"/>
    <w:qFormat/>
    <w:rPr>
      <w:rFonts w:ascii="Calibri Light" w:hAnsi="Calibri Light" w:eastAsia="新細明體" w:cs="DejaVu Sans"/>
      <w:color w:val="2F5496"/>
      <w:sz w:val="32"/>
      <w:szCs w:val="32"/>
    </w:rPr>
  </w:style>
  <w:style w:type="character" w:styleId="Heading3Char">
    <w:name w:val="Heading 3 Char"/>
    <w:basedOn w:val="DefaultParagraphFont"/>
    <w:link w:val="Heading3"/>
    <w:qFormat/>
    <w:rPr>
      <w:rFonts w:eastAsia="新細明體" w:cs="DejaVu Sans"/>
      <w:color w:val="2F5496"/>
      <w:sz w:val="28"/>
      <w:szCs w:val="28"/>
    </w:rPr>
  </w:style>
  <w:style w:type="character" w:styleId="Heading4Char">
    <w:name w:val="Heading 4 Char"/>
    <w:basedOn w:val="DefaultParagraphFont"/>
    <w:link w:val="Heading4"/>
    <w:qFormat/>
    <w:rPr>
      <w:rFonts w:eastAsia="新細明體" w:cs="DejaVu Sans"/>
      <w:i/>
      <w:iCs/>
      <w:color w:val="2F5496"/>
    </w:rPr>
  </w:style>
  <w:style w:type="character" w:styleId="Heading5Char">
    <w:name w:val="Heading 5 Char"/>
    <w:basedOn w:val="DefaultParagraphFont"/>
    <w:link w:val="Heading5"/>
    <w:qFormat/>
    <w:rPr>
      <w:rFonts w:eastAsia="新細明體" w:cs="DejaVu Sans"/>
      <w:color w:val="2F5496"/>
    </w:rPr>
  </w:style>
  <w:style w:type="character" w:styleId="Heading6Char">
    <w:name w:val="Heading 6 Char"/>
    <w:basedOn w:val="DefaultParagraphFont"/>
    <w:link w:val="Heading6"/>
    <w:qFormat/>
    <w:rPr>
      <w:rFonts w:eastAsia="新細明體" w:cs="DejaVu Sans"/>
      <w:i/>
      <w:iCs/>
      <w:color w:val="595959"/>
    </w:rPr>
  </w:style>
  <w:style w:type="character" w:styleId="Heading7Char">
    <w:name w:val="Heading 7 Char"/>
    <w:basedOn w:val="DefaultParagraphFont"/>
    <w:link w:val="Heading7"/>
    <w:qFormat/>
    <w:rPr>
      <w:rFonts w:eastAsia="新細明體" w:cs="DejaVu Sans"/>
      <w:color w:val="595959"/>
    </w:rPr>
  </w:style>
  <w:style w:type="character" w:styleId="Heading8Char">
    <w:name w:val="Heading 8 Char"/>
    <w:basedOn w:val="DefaultParagraphFont"/>
    <w:link w:val="Heading8"/>
    <w:qFormat/>
    <w:rPr>
      <w:rFonts w:eastAsia="新細明體" w:cs="DejaVu Sans"/>
      <w:i/>
      <w:iCs/>
      <w:color w:val="272727"/>
    </w:rPr>
  </w:style>
  <w:style w:type="character" w:styleId="Heading9Char">
    <w:name w:val="Heading 9 Char"/>
    <w:basedOn w:val="DefaultParagraphFont"/>
    <w:link w:val="Heading9"/>
    <w:qFormat/>
    <w:rPr>
      <w:rFonts w:eastAsia="新細明體" w:cs="DejaVu Sans"/>
      <w:color w:val="272727"/>
    </w:rPr>
  </w:style>
  <w:style w:type="character" w:styleId="TitleChar">
    <w:name w:val="Title Char"/>
    <w:basedOn w:val="DefaultParagraphFont"/>
    <w:link w:val="Title"/>
    <w:qFormat/>
    <w:rPr>
      <w:rFonts w:ascii="Arial" w:hAnsi="Arial" w:eastAsia="新細明體" w:cs="Arial"/>
      <w:spacing w:val="-10"/>
      <w:kern w:val="2"/>
      <w:sz w:val="40"/>
      <w:szCs w:val="40"/>
    </w:rPr>
  </w:style>
  <w:style w:type="character" w:styleId="SubtitleChar">
    <w:name w:val="Subtitle Char"/>
    <w:basedOn w:val="DefaultParagraphFont"/>
    <w:link w:val="Subtitle"/>
    <w:qFormat/>
    <w:rPr>
      <w:rFonts w:eastAsia="新細明體" w:cs="DejaVu Sans"/>
      <w:color w:val="595959"/>
      <w:spacing w:val="15"/>
      <w:sz w:val="28"/>
      <w:szCs w:val="28"/>
    </w:rPr>
  </w:style>
  <w:style w:type="character" w:styleId="QuoteChar">
    <w:name w:val="Quote Char"/>
    <w:basedOn w:val="DefaultParagraphFont"/>
    <w:link w:val="Quote"/>
    <w:qFormat/>
    <w:rPr>
      <w:i/>
      <w:iCs/>
      <w:color w:val="404040"/>
    </w:rPr>
  </w:style>
  <w:style w:type="character" w:styleId="IntenseEmphasis">
    <w:name w:val="Intense Emphasis"/>
    <w:basedOn w:val="DefaultParagraphFont"/>
    <w:qFormat/>
    <w:rPr>
      <w:i/>
      <w:iCs/>
      <w:color w:val="2F5496"/>
    </w:rPr>
  </w:style>
  <w:style w:type="character" w:styleId="IntenseQuoteChar">
    <w:name w:val="Intense Quote Char"/>
    <w:basedOn w:val="DefaultParagraphFont"/>
    <w:link w:val="IntenseQuote"/>
    <w:qFormat/>
    <w:rPr>
      <w:i/>
      <w:iCs/>
      <w:color w:val="2F5496"/>
    </w:rPr>
  </w:style>
  <w:style w:type="character" w:styleId="IntenseReference">
    <w:name w:val="Intense Reference"/>
    <w:basedOn w:val="DefaultParagraphFont"/>
    <w:qFormat/>
    <w:rPr>
      <w:b/>
      <w:bCs/>
      <w:smallCaps/>
      <w:color w:val="2F5496"/>
      <w:spacing w:val="5"/>
    </w:rPr>
  </w:style>
  <w:style w:type="character" w:styleId="AuthorlistChar">
    <w:name w:val="Author list Char"/>
    <w:basedOn w:val="DefaultParagraphFont"/>
    <w:link w:val="Authorlist"/>
    <w:qFormat/>
    <w:rPr>
      <w:rFonts w:ascii="Arial" w:hAnsi="Arial" w:cs="Arial"/>
    </w:rPr>
  </w:style>
  <w:style w:type="character" w:styleId="AffiliationChar">
    <w:name w:val="Affiliation Char"/>
    <w:basedOn w:val="DefaultParagraphFont"/>
    <w:link w:val="Affiliation"/>
    <w:qFormat/>
    <w:rPr>
      <w:rFonts w:ascii="Arial" w:hAnsi="Arial"/>
      <w:i/>
    </w:rPr>
  </w:style>
  <w:style w:type="character" w:styleId="HeaderChar">
    <w:name w:val="Header Char"/>
    <w:basedOn w:val="DefaultParagraphFont"/>
    <w:link w:val="Header"/>
    <w:qFormat/>
    <w:rPr>
      <w:rFonts w:ascii="Arial" w:hAnsi="Arial" w:cs="Arial"/>
    </w:rPr>
  </w:style>
  <w:style w:type="character" w:styleId="FooterChar">
    <w:name w:val="Footer Char"/>
    <w:basedOn w:val="DefaultParagraphFont"/>
    <w:link w:val="Footer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Normal"/>
    <w:link w:val="TitleChar"/>
    <w:qFormat/>
    <w:pPr>
      <w:spacing w:lineRule="auto" w:line="240" w:before="0" w:after="80"/>
      <w:contextualSpacing/>
      <w:jc w:val="center"/>
    </w:pPr>
    <w:rPr>
      <w:rFonts w:eastAsia="新細明體"/>
      <w:spacing w:val="-10"/>
      <w:kern w:val="2"/>
      <w:sz w:val="40"/>
      <w:szCs w:val="40"/>
    </w:rPr>
  </w:style>
  <w:style w:type="paragraph" w:styleId="Subtitle">
    <w:name w:val="Subtitle"/>
    <w:basedOn w:val="Normal"/>
    <w:next w:val="Normal"/>
    <w:link w:val="SubtitleChar"/>
    <w:qFormat/>
    <w:pPr/>
    <w:rPr>
      <w:rFonts w:eastAsia="新細明體" w:cs="DejaVu Sans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qFormat/>
    <w:pPr>
      <w:spacing w:before="160" w:after="160"/>
      <w:jc w:val="center"/>
    </w:pPr>
    <w:rPr>
      <w:i/>
      <w:iCs/>
      <w:color w:val="404040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IntenseQuote">
    <w:name w:val="Intense Quote"/>
    <w:basedOn w:val="Normal"/>
    <w:next w:val="Normal"/>
    <w:link w:val="IntenseQuoteChar"/>
    <w:qFormat/>
    <w:pPr>
      <w:pBdr>
        <w:top w:val="single" w:sz="4" w:space="10" w:color="2F5496"/>
        <w:bottom w:val="single" w:sz="4" w:space="10" w:color="2F5496"/>
      </w:pBdr>
      <w:spacing w:before="360" w:after="360"/>
      <w:ind w:left="864" w:right="864" w:hanging="0"/>
      <w:jc w:val="center"/>
    </w:pPr>
    <w:rPr>
      <w:i/>
      <w:iCs/>
      <w:color w:val="2F5496"/>
    </w:rPr>
  </w:style>
  <w:style w:type="paragraph" w:styleId="Authorlist">
    <w:name w:val="Author list"/>
    <w:basedOn w:val="Normal"/>
    <w:link w:val="AuthorlistChar"/>
    <w:qFormat/>
    <w:pPr>
      <w:jc w:val="center"/>
    </w:pPr>
    <w:rPr/>
  </w:style>
  <w:style w:type="paragraph" w:styleId="Affiliation">
    <w:name w:val="Affiliation"/>
    <w:basedOn w:val="Normal"/>
    <w:link w:val="AffiliationChar"/>
    <w:qFormat/>
    <w:pPr>
      <w:spacing w:before="0" w:after="0"/>
      <w:jc w:val="center"/>
    </w:pPr>
    <w:rPr>
      <w:i/>
    </w:rPr>
  </w:style>
  <w:style w:type="paragraph" w:styleId="Caption1">
    <w:name w:val="caption"/>
    <w:basedOn w:val="Normal"/>
    <w:next w:val="Normal"/>
    <w:qFormat/>
    <w:pPr>
      <w:spacing w:lineRule="auto" w:line="240" w:before="0" w:after="200"/>
      <w:jc w:val="center"/>
    </w:pPr>
    <w:rPr>
      <w:i/>
      <w:iCs/>
      <w:sz w:val="20"/>
      <w:szCs w:val="18"/>
    </w:rPr>
  </w:style>
  <w:style w:type="paragraph" w:styleId="Reference">
    <w:name w:val="Reference"/>
    <w:basedOn w:val="Normal"/>
    <w:qFormat/>
    <w:pPr>
      <w:spacing w:before="0" w:after="0"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pPr>
      <w:tabs>
        <w:tab w:val="clear" w:pos="720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pPr>
      <w:tabs>
        <w:tab w:val="clear" w:pos="720"/>
        <w:tab w:val="center" w:pos="4513" w:leader="none"/>
        <w:tab w:val="right" w:pos="9026" w:leader="none"/>
      </w:tabs>
      <w:spacing w:lineRule="auto" w:line="240" w:before="0" w:after="0"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Application>LibreOffice/7.3.7.2$Linux_X86_64 LibreOffice_project/30$Build-2</Application>
  <AppVersion>15.0000</AppVersion>
  <Pages>1</Pages>
  <Words>228</Words>
  <Characters>1474</Characters>
  <CharactersWithSpaces>1695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2024-05-21T00:35:00Z</dcterms:created>
  <dc:creator>Henry Yang</dc:creator>
  <dc:description/>
  <dc:language>en-US</dc:language>
  <cp:lastModifiedBy/>
  <dcterms:modified xsi:type="dcterms:W3CDTF">2024-09-04T16:37:07Z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0x0101001D3B93C6FB7CB8428A525CD4FC8A95BB</vt:lpwstr>
  </property>
</Properties>
</file>