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87722" w14:textId="74AF538C" w:rsidR="00E16D94" w:rsidRDefault="00E16D94" w:rsidP="001E4F9A">
      <w:pPr>
        <w:pStyle w:val="Authorlist"/>
        <w:rPr>
          <w:rFonts w:eastAsiaTheme="majorEastAsia"/>
          <w:spacing w:val="-10"/>
          <w:kern w:val="28"/>
          <w:sz w:val="40"/>
          <w:szCs w:val="40"/>
        </w:rPr>
      </w:pPr>
      <w:r w:rsidRPr="00E16D94">
        <w:rPr>
          <w:rFonts w:eastAsiaTheme="majorEastAsia"/>
          <w:spacing w:val="-10"/>
          <w:kern w:val="28"/>
          <w:sz w:val="40"/>
          <w:szCs w:val="40"/>
        </w:rPr>
        <w:t>Reducing disorder in Ge quantum wells</w:t>
      </w:r>
    </w:p>
    <w:p w14:paraId="4393ABC7" w14:textId="5C940A35" w:rsidR="00C77156" w:rsidRPr="00C77156" w:rsidRDefault="001207BA" w:rsidP="001E4F9A">
      <w:pPr>
        <w:pStyle w:val="Authorlist"/>
      </w:pPr>
      <w:r>
        <w:t>Davide Costa</w:t>
      </w:r>
      <w:r w:rsidR="00224950" w:rsidRPr="00224950">
        <w:rPr>
          <w:rFonts w:hint="eastAsia"/>
          <w:vertAlign w:val="superscript"/>
        </w:rPr>
        <w:t>1</w:t>
      </w:r>
      <w:r w:rsidR="00C77156" w:rsidRPr="00C77156">
        <w:rPr>
          <w:rFonts w:hint="eastAsia"/>
        </w:rPr>
        <w:t xml:space="preserve">, </w:t>
      </w:r>
      <w:r>
        <w:t>L.E.A. Stehouwer</w:t>
      </w:r>
      <w:r w:rsidR="00224950" w:rsidRPr="00224950">
        <w:rPr>
          <w:rFonts w:hint="eastAsia"/>
          <w:vertAlign w:val="superscript"/>
        </w:rPr>
        <w:t>1</w:t>
      </w:r>
      <w:r w:rsidR="00C77156" w:rsidRPr="00C77156">
        <w:rPr>
          <w:rFonts w:hint="eastAsia"/>
        </w:rPr>
        <w:t xml:space="preserve">, </w:t>
      </w:r>
      <w:r>
        <w:t>Davide Degli Esposti</w:t>
      </w:r>
      <w:r>
        <w:rPr>
          <w:vertAlign w:val="superscript"/>
        </w:rPr>
        <w:t>1</w:t>
      </w:r>
      <w:r w:rsidR="00C77156" w:rsidRPr="00C77156">
        <w:rPr>
          <w:rFonts w:hint="eastAsia"/>
        </w:rPr>
        <w:t xml:space="preserve">, </w:t>
      </w:r>
      <w:r>
        <w:t>Karina Hudson</w:t>
      </w:r>
      <w:r>
        <w:rPr>
          <w:vertAlign w:val="superscript"/>
        </w:rPr>
        <w:t>1</w:t>
      </w:r>
      <w:r>
        <w:t>, Menno Veldhorst</w:t>
      </w:r>
      <w:r>
        <w:rPr>
          <w:vertAlign w:val="superscript"/>
        </w:rPr>
        <w:t>1</w:t>
      </w:r>
      <w:r>
        <w:t>, Giordano Scappucci</w:t>
      </w:r>
      <w:r>
        <w:rPr>
          <w:vertAlign w:val="superscript"/>
        </w:rPr>
        <w:t>1</w:t>
      </w:r>
    </w:p>
    <w:p w14:paraId="081FFB1B" w14:textId="56311B9D" w:rsidR="00C77156" w:rsidRDefault="00224950" w:rsidP="001207BA">
      <w:pPr>
        <w:pStyle w:val="Affiliation"/>
      </w:pPr>
      <w:r w:rsidRPr="00224950">
        <w:rPr>
          <w:rFonts w:hint="eastAsia"/>
          <w:iCs/>
          <w:vertAlign w:val="superscript"/>
        </w:rPr>
        <w:t>1</w:t>
      </w:r>
      <w:r w:rsidR="001207BA">
        <w:t>QuTech and Kavli Institute of Nanoscience, Delft University of Technology, PO Box 5046, Delft, 2600 GA, The Netherlands</w:t>
      </w:r>
    </w:p>
    <w:p w14:paraId="49373D7E" w14:textId="77777777" w:rsidR="00480AB4" w:rsidRDefault="00480AB4" w:rsidP="001E4F9A"/>
    <w:p w14:paraId="54624AD0" w14:textId="09896F85" w:rsidR="001207BA" w:rsidRDefault="001207BA" w:rsidP="0049325C">
      <w:pPr>
        <w:jc w:val="both"/>
      </w:pPr>
      <w:r w:rsidRPr="001207BA">
        <w:t>Holes confined in strained germanium (Ge) quantum wells (QWs) are a promising platform for quantum computation with gate-defined quantum dots [</w:t>
      </w:r>
      <w:r w:rsidR="00E16D94">
        <w:t>1</w:t>
      </w:r>
      <w:r w:rsidRPr="001207BA">
        <w:t>].</w:t>
      </w:r>
      <w:r w:rsidR="00916499">
        <w:t xml:space="preserve"> </w:t>
      </w:r>
      <w:r w:rsidR="00916499" w:rsidRPr="00916499">
        <w:t>We have recently shifte</w:t>
      </w:r>
      <w:r w:rsidR="0049325C">
        <w:t xml:space="preserve">d to starting the </w:t>
      </w:r>
      <w:r w:rsidR="00916499" w:rsidRPr="00916499">
        <w:t>epitaxy on Ge substrates rather than Si</w:t>
      </w:r>
      <w:r w:rsidR="0049325C">
        <w:t>licon (Si)</w:t>
      </w:r>
      <w:r w:rsidR="00916499" w:rsidRPr="00916499">
        <w:t>. This approach effectively minimizes the lattice mismatch between the substrate and the heterostructure's active layers. As a result, we have demonstrated a tenfold reduction in threading dislocations and a significant improvemen</w:t>
      </w:r>
      <w:r w:rsidR="0049325C">
        <w:t xml:space="preserve">t </w:t>
      </w:r>
      <w:r w:rsidR="00916499" w:rsidRPr="00916499">
        <w:t xml:space="preserve">in 2D hole gas mobility, primarily due to the reduction in short-range scattering [2]. </w:t>
      </w:r>
      <w:r w:rsidR="0049325C">
        <w:t xml:space="preserve">In this poster, we display our most recent </w:t>
      </w:r>
      <w:r w:rsidR="00D939DC">
        <w:t>results</w:t>
      </w:r>
      <w:r w:rsidR="0049325C">
        <w:t xml:space="preserve"> on further improving the heterostructure. </w:t>
      </w:r>
      <w:r w:rsidR="00D939DC">
        <w:t>We</w:t>
      </w:r>
      <w:r w:rsidR="0049325C">
        <w:t xml:space="preserve"> </w:t>
      </w:r>
      <w:r w:rsidR="00916499" w:rsidRPr="00916499">
        <w:t xml:space="preserve">will focus </w:t>
      </w:r>
      <w:r w:rsidR="0049325C">
        <w:t>on</w:t>
      </w:r>
      <w:r w:rsidR="00916499" w:rsidRPr="00916499">
        <w:t xml:space="preserve"> </w:t>
      </w:r>
      <w:r w:rsidR="0049325C">
        <w:t xml:space="preserve">the </w:t>
      </w:r>
      <w:r w:rsidR="00916499" w:rsidRPr="00916499">
        <w:t>mitigati</w:t>
      </w:r>
      <w:r w:rsidR="0049325C">
        <w:t>on of</w:t>
      </w:r>
      <w:r w:rsidR="00916499" w:rsidRPr="00916499">
        <w:t xml:space="preserve"> scattering from remote impurities by positioning the quantum well further away from the semiconductor-dielectric interface</w:t>
      </w:r>
      <w:r w:rsidR="0049325C">
        <w:t xml:space="preserve">, demonstrating reproducible hole </w:t>
      </w:r>
      <w:r w:rsidR="0049325C" w:rsidRPr="0049325C">
        <w:t xml:space="preserve">mobility exceeding 4.5 </w:t>
      </w:r>
      <w:r w:rsidR="0049325C">
        <w:t>million</w:t>
      </w:r>
      <w:r w:rsidR="0049325C" w:rsidRPr="0049325C">
        <w:t xml:space="preserve"> cm2/Vs over several heterostructure field effect transistors</w:t>
      </w:r>
      <w:r w:rsidR="00E16D94">
        <w:t xml:space="preserve"> </w:t>
      </w:r>
      <w:r w:rsidR="0084225C">
        <w:t xml:space="preserve">(Fig. 1) </w:t>
      </w:r>
      <w:r w:rsidR="00E16D94">
        <w:t xml:space="preserve">[3]. </w:t>
      </w:r>
      <w:r w:rsidR="000969D6">
        <w:t>We extract quantum mobility and g-factor from SdH oscillations by fitting them to an analytic formula and find a striking match between fitted and experimental data</w:t>
      </w:r>
      <w:r w:rsidR="0084225C">
        <w:t xml:space="preserve"> (Fig. 2)</w:t>
      </w:r>
      <w:r w:rsidR="00D939DC">
        <w:t xml:space="preserve"> [4]</w:t>
      </w:r>
      <w:r w:rsidR="000969D6">
        <w:t xml:space="preserve">. We use these results to identify the remaining scattering mechanisms affecting the 2D hole channel and </w:t>
      </w:r>
      <w:r w:rsidR="00D939DC">
        <w:t>improve</w:t>
      </w:r>
      <w:r w:rsidR="00E16D94" w:rsidRPr="00E16D94">
        <w:t xml:space="preserve"> material</w:t>
      </w:r>
      <w:r w:rsidR="00D939DC">
        <w:t>s</w:t>
      </w:r>
      <w:r w:rsidR="00E16D94" w:rsidRPr="00E16D94">
        <w:t xml:space="preserve"> for hole spin qubits.</w:t>
      </w:r>
    </w:p>
    <w:p w14:paraId="316C20A3" w14:textId="77777777" w:rsidR="007553E8" w:rsidRDefault="007553E8" w:rsidP="001E4F9A"/>
    <w:p w14:paraId="2E26A6E3" w14:textId="6C16CB60" w:rsidR="007B47C9" w:rsidRPr="000969D6" w:rsidRDefault="000969D6" w:rsidP="0084225C">
      <w:pPr>
        <w:keepNext/>
        <w:jc w:val="both"/>
        <w:rPr>
          <w:lang w:val="en-GB"/>
        </w:rPr>
      </w:pPr>
      <w:r>
        <w:rPr>
          <w:lang w:val="en-GB"/>
        </w:rPr>
        <w:t xml:space="preserve">       </w:t>
      </w:r>
      <w:r w:rsidRPr="000969D6">
        <w:rPr>
          <w:noProof/>
          <w:lang w:val="en-GB"/>
        </w:rPr>
        <w:drawing>
          <wp:inline distT="0" distB="0" distL="0" distR="0" wp14:anchorId="56C57F41" wp14:editId="079BC44B">
            <wp:extent cx="2581275" cy="2292147"/>
            <wp:effectExtent l="0" t="0" r="0" b="0"/>
            <wp:docPr id="1044536610" name="Picture 6" descr="A diagram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536610" name="Picture 6" descr="A diagram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403" cy="2302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225C">
        <w:rPr>
          <w:lang w:val="en-GB"/>
        </w:rPr>
        <w:t xml:space="preserve">             </w:t>
      </w:r>
      <w:r w:rsidR="0084225C">
        <w:rPr>
          <w:noProof/>
        </w:rPr>
        <w:drawing>
          <wp:inline distT="0" distB="0" distL="0" distR="0" wp14:anchorId="4F98687E" wp14:editId="6C897F83">
            <wp:extent cx="2362200" cy="2373454"/>
            <wp:effectExtent l="0" t="0" r="0" b="8255"/>
            <wp:docPr id="801992493" name="Picture 1" descr="A group of graphs showing the different types of wav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992493" name="Picture 1" descr="A group of graphs showing the different types of waves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4128" cy="2395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25F72" w14:textId="5DF8D96F" w:rsidR="00A50716" w:rsidRPr="0084225C" w:rsidRDefault="007B47C9" w:rsidP="0084225C">
      <w:pPr>
        <w:pStyle w:val="Caption"/>
      </w:pPr>
      <w:r w:rsidRPr="00751E64">
        <w:t xml:space="preserve">Figure </w:t>
      </w:r>
      <w:r w:rsidR="0069213C">
        <w:fldChar w:fldCharType="begin"/>
      </w:r>
      <w:r w:rsidR="0069213C">
        <w:instrText xml:space="preserve"> SEQ Figure \* ARABIC </w:instrText>
      </w:r>
      <w:r w:rsidR="0069213C">
        <w:fldChar w:fldCharType="separate"/>
      </w:r>
      <w:r w:rsidRPr="00751E64">
        <w:t>1</w:t>
      </w:r>
      <w:r w:rsidR="0069213C">
        <w:fldChar w:fldCharType="end"/>
      </w:r>
      <w:r w:rsidRPr="00751E64">
        <w:rPr>
          <w:rFonts w:hint="eastAsia"/>
        </w:rPr>
        <w:t xml:space="preserve">, </w:t>
      </w:r>
      <w:r w:rsidR="000969D6">
        <w:t>Hall mobility of nine H-FETs in a deep Ge QW</w:t>
      </w:r>
      <w:r w:rsidRPr="00751E64">
        <w:rPr>
          <w:rFonts w:hint="eastAsia"/>
        </w:rPr>
        <w:t>.</w:t>
      </w:r>
      <w:r w:rsidR="0084225C">
        <w:t xml:space="preserve">          </w:t>
      </w:r>
      <w:r w:rsidR="0084225C" w:rsidRPr="00751E64">
        <w:t xml:space="preserve">Figure </w:t>
      </w:r>
      <w:r w:rsidR="0084225C">
        <w:t>2</w:t>
      </w:r>
      <w:r w:rsidR="0084225C" w:rsidRPr="00751E64">
        <w:rPr>
          <w:rFonts w:hint="eastAsia"/>
        </w:rPr>
        <w:t xml:space="preserve">, </w:t>
      </w:r>
      <w:r w:rsidR="0084225C">
        <w:t>Analytic fit of SdH oscillations</w:t>
      </w:r>
      <w:r w:rsidR="0084225C" w:rsidRPr="00751E64">
        <w:rPr>
          <w:rFonts w:hint="eastAsia"/>
        </w:rPr>
        <w:t>.</w:t>
      </w:r>
    </w:p>
    <w:p w14:paraId="16840874" w14:textId="08806143" w:rsidR="007553E8" w:rsidRPr="0084225C" w:rsidRDefault="007553E8" w:rsidP="0084225C">
      <w:pPr>
        <w:spacing w:after="0" w:line="240" w:lineRule="auto"/>
        <w:rPr>
          <w:rFonts w:ascii="Century Gothic" w:eastAsia="Gulim" w:hAnsi="Century Gothic" w:cs="Lucida Sans Unicode"/>
          <w:lang w:val="fr-FR"/>
        </w:rPr>
      </w:pPr>
    </w:p>
    <w:p w14:paraId="15F73939" w14:textId="77777777" w:rsidR="007553E8" w:rsidRDefault="007553E8" w:rsidP="007553E8">
      <w:pPr>
        <w:pStyle w:val="Reference"/>
      </w:pPr>
    </w:p>
    <w:p w14:paraId="2D188623" w14:textId="77777777" w:rsidR="00D939DC" w:rsidRDefault="00D939DC" w:rsidP="007553E8">
      <w:pPr>
        <w:pStyle w:val="Reference"/>
      </w:pPr>
    </w:p>
    <w:p w14:paraId="1A6BEA2E" w14:textId="77777777" w:rsidR="00D939DC" w:rsidRDefault="00D939DC" w:rsidP="007553E8">
      <w:pPr>
        <w:pStyle w:val="Reference"/>
      </w:pPr>
    </w:p>
    <w:p w14:paraId="5A3375A0" w14:textId="77777777" w:rsidR="00D939DC" w:rsidRDefault="00D939DC" w:rsidP="007553E8">
      <w:pPr>
        <w:pStyle w:val="Reference"/>
      </w:pPr>
    </w:p>
    <w:p w14:paraId="25F3FED0" w14:textId="77777777" w:rsidR="00D939DC" w:rsidRDefault="00D939DC" w:rsidP="007553E8">
      <w:pPr>
        <w:pStyle w:val="Reference"/>
      </w:pPr>
    </w:p>
    <w:p w14:paraId="37E1E76D" w14:textId="50E8725A" w:rsidR="00224950" w:rsidRPr="007553E8" w:rsidRDefault="00A322E1" w:rsidP="007553E8">
      <w:pPr>
        <w:pStyle w:val="Reference"/>
      </w:pPr>
      <w:r w:rsidRPr="007553E8">
        <w:rPr>
          <w:rFonts w:hint="eastAsia"/>
        </w:rPr>
        <w:t xml:space="preserve">[1] </w:t>
      </w:r>
      <w:r w:rsidR="0084225C">
        <w:t>G</w:t>
      </w:r>
      <w:r w:rsidR="00CE11C9" w:rsidRPr="007553E8">
        <w:rPr>
          <w:rFonts w:hint="eastAsia"/>
        </w:rPr>
        <w:t xml:space="preserve">. </w:t>
      </w:r>
      <w:r w:rsidR="0084225C">
        <w:t>Scappucci</w:t>
      </w:r>
      <w:r w:rsidRPr="007553E8">
        <w:rPr>
          <w:rFonts w:hint="eastAsia"/>
        </w:rPr>
        <w:t xml:space="preserve"> et al. </w:t>
      </w:r>
      <w:r w:rsidR="0084225C">
        <w:rPr>
          <w:i/>
          <w:iCs/>
        </w:rPr>
        <w:t>Nature Reviews Materials 6, 926-943</w:t>
      </w:r>
      <w:r w:rsidRPr="007553E8">
        <w:rPr>
          <w:rFonts w:hint="eastAsia"/>
        </w:rPr>
        <w:t xml:space="preserve"> (202</w:t>
      </w:r>
      <w:r w:rsidR="0084225C">
        <w:t>1</w:t>
      </w:r>
      <w:r w:rsidRPr="007553E8">
        <w:rPr>
          <w:rFonts w:hint="eastAsia"/>
        </w:rPr>
        <w:t>)</w:t>
      </w:r>
    </w:p>
    <w:p w14:paraId="7649E489" w14:textId="0D7E788A" w:rsidR="0084225C" w:rsidRPr="007553E8" w:rsidRDefault="0084225C" w:rsidP="0084225C">
      <w:pPr>
        <w:pStyle w:val="Reference"/>
      </w:pPr>
      <w:r w:rsidRPr="007553E8">
        <w:rPr>
          <w:rFonts w:hint="eastAsia"/>
        </w:rPr>
        <w:t>[</w:t>
      </w:r>
      <w:r>
        <w:t>2</w:t>
      </w:r>
      <w:r w:rsidRPr="007553E8">
        <w:rPr>
          <w:rFonts w:hint="eastAsia"/>
        </w:rPr>
        <w:t xml:space="preserve">] </w:t>
      </w:r>
      <w:r>
        <w:t>L</w:t>
      </w:r>
      <w:r w:rsidRPr="007553E8">
        <w:rPr>
          <w:rFonts w:hint="eastAsia"/>
        </w:rPr>
        <w:t>.</w:t>
      </w:r>
      <w:r>
        <w:t>E.A.</w:t>
      </w:r>
      <w:r w:rsidRPr="007553E8">
        <w:rPr>
          <w:rFonts w:hint="eastAsia"/>
        </w:rPr>
        <w:t xml:space="preserve"> </w:t>
      </w:r>
      <w:r>
        <w:t>Stehouwer</w:t>
      </w:r>
      <w:r w:rsidRPr="007553E8">
        <w:rPr>
          <w:rFonts w:hint="eastAsia"/>
        </w:rPr>
        <w:t xml:space="preserve"> et al. </w:t>
      </w:r>
      <w:r>
        <w:rPr>
          <w:i/>
          <w:iCs/>
        </w:rPr>
        <w:t>Applied Physics Letter, 123, 092101</w:t>
      </w:r>
      <w:r w:rsidRPr="007553E8">
        <w:rPr>
          <w:rFonts w:hint="eastAsia"/>
        </w:rPr>
        <w:t xml:space="preserve"> (202</w:t>
      </w:r>
      <w:r>
        <w:t>3</w:t>
      </w:r>
      <w:r w:rsidRPr="007553E8">
        <w:rPr>
          <w:rFonts w:hint="eastAsia"/>
        </w:rPr>
        <w:t>)</w:t>
      </w:r>
    </w:p>
    <w:p w14:paraId="0BD1584E" w14:textId="5B45EFCF" w:rsidR="0084225C" w:rsidRPr="007553E8" w:rsidRDefault="0084225C" w:rsidP="0084225C">
      <w:pPr>
        <w:pStyle w:val="Reference"/>
      </w:pPr>
      <w:r w:rsidRPr="007553E8">
        <w:rPr>
          <w:rFonts w:hint="eastAsia"/>
        </w:rPr>
        <w:t>[</w:t>
      </w:r>
      <w:r>
        <w:t>3</w:t>
      </w:r>
      <w:r w:rsidRPr="007553E8">
        <w:rPr>
          <w:rFonts w:hint="eastAsia"/>
        </w:rPr>
        <w:t xml:space="preserve">] </w:t>
      </w:r>
      <w:r w:rsidR="00A02C56">
        <w:t>D</w:t>
      </w:r>
      <w:r w:rsidRPr="007553E8">
        <w:rPr>
          <w:rFonts w:hint="eastAsia"/>
        </w:rPr>
        <w:t xml:space="preserve">. </w:t>
      </w:r>
      <w:r w:rsidR="00A02C56">
        <w:t>Costa</w:t>
      </w:r>
      <w:r w:rsidRPr="007553E8">
        <w:rPr>
          <w:rFonts w:hint="eastAsia"/>
        </w:rPr>
        <w:t xml:space="preserve"> et al. </w:t>
      </w:r>
      <w:r w:rsidR="00A02C56">
        <w:rPr>
          <w:i/>
          <w:iCs/>
        </w:rPr>
        <w:t>in preparation</w:t>
      </w:r>
      <w:r w:rsidRPr="007553E8">
        <w:rPr>
          <w:rFonts w:hint="eastAsia"/>
        </w:rPr>
        <w:t xml:space="preserve"> (202</w:t>
      </w:r>
      <w:r>
        <w:t>4</w:t>
      </w:r>
      <w:r w:rsidRPr="007553E8">
        <w:rPr>
          <w:rFonts w:hint="eastAsia"/>
        </w:rPr>
        <w:t>)</w:t>
      </w:r>
    </w:p>
    <w:p w14:paraId="47B56DBA" w14:textId="421EE21F" w:rsidR="00224950" w:rsidRPr="00C77156" w:rsidRDefault="0084225C" w:rsidP="0084225C">
      <w:pPr>
        <w:pStyle w:val="Reference"/>
      </w:pPr>
      <w:r w:rsidRPr="007553E8">
        <w:rPr>
          <w:rFonts w:hint="eastAsia"/>
        </w:rPr>
        <w:t>[</w:t>
      </w:r>
      <w:r>
        <w:t>4</w:t>
      </w:r>
      <w:r w:rsidRPr="007553E8">
        <w:rPr>
          <w:rFonts w:hint="eastAsia"/>
        </w:rPr>
        <w:t xml:space="preserve">] </w:t>
      </w:r>
      <w:r w:rsidR="00A02C56">
        <w:t>D</w:t>
      </w:r>
      <w:r w:rsidRPr="007553E8">
        <w:rPr>
          <w:rFonts w:hint="eastAsia"/>
        </w:rPr>
        <w:t xml:space="preserve">. </w:t>
      </w:r>
      <w:r w:rsidR="00A02C56">
        <w:t>Costa</w:t>
      </w:r>
      <w:r w:rsidRPr="007553E8">
        <w:rPr>
          <w:rFonts w:hint="eastAsia"/>
        </w:rPr>
        <w:t xml:space="preserve"> et al. </w:t>
      </w:r>
      <w:r w:rsidR="00A02C56">
        <w:rPr>
          <w:i/>
          <w:iCs/>
        </w:rPr>
        <w:t>in preparation</w:t>
      </w:r>
      <w:r w:rsidR="00A02C56" w:rsidRPr="007553E8">
        <w:rPr>
          <w:rFonts w:hint="eastAsia"/>
        </w:rPr>
        <w:t xml:space="preserve"> </w:t>
      </w:r>
      <w:r w:rsidRPr="007553E8">
        <w:rPr>
          <w:rFonts w:hint="eastAsia"/>
        </w:rPr>
        <w:t>(202</w:t>
      </w:r>
      <w:r>
        <w:t>4</w:t>
      </w:r>
      <w:r w:rsidRPr="007553E8">
        <w:rPr>
          <w:rFonts w:hint="eastAsia"/>
        </w:rPr>
        <w:t>)</w:t>
      </w:r>
    </w:p>
    <w:sectPr w:rsidR="00224950" w:rsidRPr="00C77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FF46F" w14:textId="77777777" w:rsidR="000A22D1" w:rsidRDefault="000A22D1" w:rsidP="00CE15CF">
      <w:pPr>
        <w:spacing w:after="0" w:line="240" w:lineRule="auto"/>
      </w:pPr>
      <w:r>
        <w:separator/>
      </w:r>
    </w:p>
  </w:endnote>
  <w:endnote w:type="continuationSeparator" w:id="0">
    <w:p w14:paraId="463C350F" w14:textId="77777777" w:rsidR="000A22D1" w:rsidRDefault="000A22D1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117FF" w14:textId="77777777" w:rsidR="000A22D1" w:rsidRDefault="000A22D1" w:rsidP="00CE15CF">
      <w:pPr>
        <w:spacing w:after="0" w:line="240" w:lineRule="auto"/>
      </w:pPr>
      <w:r>
        <w:separator/>
      </w:r>
    </w:p>
  </w:footnote>
  <w:footnote w:type="continuationSeparator" w:id="0">
    <w:p w14:paraId="54D29ABB" w14:textId="77777777" w:rsidR="000A22D1" w:rsidRDefault="000A22D1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6782D"/>
    <w:multiLevelType w:val="hybridMultilevel"/>
    <w:tmpl w:val="DC72B538"/>
    <w:lvl w:ilvl="0" w:tplc="C144E27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1689">
    <w:abstractNumId w:val="0"/>
  </w:num>
  <w:num w:numId="2" w16cid:durableId="1878857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62E4E"/>
    <w:rsid w:val="000969D6"/>
    <w:rsid w:val="000A22D1"/>
    <w:rsid w:val="001207BA"/>
    <w:rsid w:val="00192CFE"/>
    <w:rsid w:val="00196367"/>
    <w:rsid w:val="001E4F9A"/>
    <w:rsid w:val="00224950"/>
    <w:rsid w:val="002C1AF8"/>
    <w:rsid w:val="002D651D"/>
    <w:rsid w:val="00310969"/>
    <w:rsid w:val="00354FC6"/>
    <w:rsid w:val="003B5A75"/>
    <w:rsid w:val="00480AB4"/>
    <w:rsid w:val="0049325C"/>
    <w:rsid w:val="004C18D2"/>
    <w:rsid w:val="00514895"/>
    <w:rsid w:val="00573209"/>
    <w:rsid w:val="0069213C"/>
    <w:rsid w:val="00694951"/>
    <w:rsid w:val="00751E64"/>
    <w:rsid w:val="007553E8"/>
    <w:rsid w:val="007B47C9"/>
    <w:rsid w:val="00837F11"/>
    <w:rsid w:val="0084225C"/>
    <w:rsid w:val="00916499"/>
    <w:rsid w:val="00927409"/>
    <w:rsid w:val="009837F9"/>
    <w:rsid w:val="00A00D9F"/>
    <w:rsid w:val="00A02C56"/>
    <w:rsid w:val="00A322E1"/>
    <w:rsid w:val="00A50716"/>
    <w:rsid w:val="00A8352C"/>
    <w:rsid w:val="00AE30CA"/>
    <w:rsid w:val="00AE43D2"/>
    <w:rsid w:val="00B24FDF"/>
    <w:rsid w:val="00BA4C5D"/>
    <w:rsid w:val="00BC08DC"/>
    <w:rsid w:val="00C06AC6"/>
    <w:rsid w:val="00C77156"/>
    <w:rsid w:val="00CE11C9"/>
    <w:rsid w:val="00CE15CF"/>
    <w:rsid w:val="00D939DC"/>
    <w:rsid w:val="00DA69DB"/>
    <w:rsid w:val="00E16D94"/>
    <w:rsid w:val="00E20CC2"/>
    <w:rsid w:val="00EA0133"/>
    <w:rsid w:val="00EA786D"/>
    <w:rsid w:val="00EE472A"/>
    <w:rsid w:val="00F30FBB"/>
    <w:rsid w:val="00F7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7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2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8721</TotalTime>
  <Pages>1</Pages>
  <Words>289</Words>
  <Characters>1636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Davide Costa</cp:lastModifiedBy>
  <cp:revision>32</cp:revision>
  <dcterms:created xsi:type="dcterms:W3CDTF">2024-05-21T00:35:00Z</dcterms:created>
  <dcterms:modified xsi:type="dcterms:W3CDTF">2024-09-04T13:19:00Z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  <property fmtid="{D5CDD505-2E9C-101B-9397-08002B2CF9AE}" pid="3" name="GrammarlyDocumentId">
    <vt:lpwstr>6da74b3666812ecfdba523ae5736a8311b7269006f3f89735fa5e76a2be21a98</vt:lpwstr>
  </property>
</Properties>
</file>