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Floquet Quantum Processor</w:t>
      </w:r>
    </w:p>
    <w:p>
      <w:pPr>
        <w:pStyle w:val="Authorlist"/>
        <w:rPr/>
      </w:pPr>
      <w:r>
        <w:rPr/>
        <w:t>Giovanni Francesco Diotallevi</w:t>
      </w:r>
      <w:r>
        <w:rPr>
          <w:vertAlign w:val="superscript"/>
        </w:rPr>
        <w:t>1</w:t>
      </w:r>
      <w:r>
        <w:rPr/>
        <w:t xml:space="preserve">, </w:t>
      </w:r>
      <w:r>
        <w:rPr/>
        <w:t>Monica Benito</w:t>
      </w:r>
      <w:r>
        <w:rPr>
          <w:vertAlign w:val="superscript"/>
        </w:rPr>
        <w:t>1</w:t>
      </w:r>
      <w:r>
        <w:rPr/>
        <w:t>,</w:t>
      </w:r>
    </w:p>
    <w:p>
      <w:pPr>
        <w:pStyle w:val="Affiliation"/>
        <w:rPr/>
      </w:pPr>
      <w:r>
        <w:rPr>
          <w:iCs/>
          <w:vertAlign w:val="superscript"/>
        </w:rPr>
        <w:t>1</w:t>
      </w:r>
      <w:r>
        <w:rPr/>
        <w:t xml:space="preserve">Augsburg University, Institute of Physics, Universitätsstraße 1 86159 Augsburg </w:t>
      </w:r>
    </w:p>
    <w:p>
      <w:pPr>
        <w:pStyle w:val="Normal"/>
        <w:rPr/>
      </w:pPr>
      <w:r>
        <w:rPr/>
      </w:r>
    </w:p>
    <w:p>
      <w:pPr>
        <w:pStyle w:val="TextBody"/>
        <w:rPr/>
      </w:pPr>
      <w:r>
        <w:rPr/>
        <w:t>Quantum dot-confined hole spin qubits exhibit a range of properties that make them highly promising candidates for the development of quantum computing platforms [1]. However, significant challenges remain in constructing functional large-scale quantum processors. Among these challenges is the ability to simultaneously control distant qubits with minimal cross-talk between untargeted qubits, a key goal yet to be fully realized in the field. Recent studies have proposed the use of superconducting quantum resonators to mediate the coupling between distant qubits as a potential solution [2].</w:t>
      </w:r>
    </w:p>
    <w:p>
      <w:pPr>
        <w:pStyle w:val="TextBody"/>
        <w:rPr/>
      </w:pPr>
      <w:r>
        <w:rPr/>
        <w:t>In this research, we aim to explore techniques involving external periodic drives to enhance the control of coupling between hole spin qubits and the interaction-mediating resonators. Specifically, we propose utilizing an ensemble of periodic fields to individually control the coupling of a series of hole spin qubits to a single resonator. By employing Floquet-based theory, we can tune the spin-orbit interaction within these qubit systems [3], enabling selective coupling of qubits to facilitate the implementation of desired quantum gates.</w:t>
      </w:r>
    </w:p>
    <w:p>
      <w:pPr>
        <w:pStyle w:val="TextBody"/>
        <w:rPr/>
      </w:pPr>
      <w:r>
        <w:rPr/>
        <w:t xml:space="preserve">Although the approach should be applicable to the linear SO coupling in any QD confinement geometry, we consider a quasi-one-dimensional confinement geometry for the quantum dot, also referred to as a </w:t>
      </w:r>
      <w:r>
        <w:rPr/>
        <w:t>one-dimentional channel [4].</w:t>
      </w:r>
      <w:r>
        <w:rPr/>
        <w:t xml:space="preserve"> This confinement scheme, with a profile that lies between the planar and nanowire geometries, favo</w:t>
      </w:r>
      <w:r>
        <w:rPr/>
        <w:t>u</w:t>
      </w:r>
      <w:r>
        <w:rPr/>
        <w:t>rs linear SO coupling while maintaining an analytically tractable setup.</w:t>
      </w:r>
    </w:p>
    <w:p>
      <w:pPr>
        <w:pStyle w:val="HorizontalLine"/>
        <w:rPr/>
      </w:pPr>
      <w:r>
        <w:rPr/>
      </w:r>
    </w:p>
    <w:p>
      <w:pPr>
        <w:pStyle w:val="Reference"/>
        <w:rPr/>
      </w:pPr>
      <w:r>
        <w:rPr/>
      </w:r>
    </w:p>
    <w:p>
      <w:pPr>
        <w:pStyle w:val="Reference"/>
        <w:rPr/>
      </w:pPr>
      <w:r>
        <w:rPr/>
        <w:t xml:space="preserve">[1] </w:t>
      </w:r>
      <w:r>
        <w:rPr/>
        <w:t>Y</w:t>
      </w:r>
      <w:r>
        <w:rPr>
          <w:rFonts w:ascii="arial" w:hAnsi="arial"/>
          <w:sz w:val="22"/>
          <w:szCs w:val="22"/>
        </w:rPr>
        <w:t>. Fang, P. Philippopoulos, D. Culcer, W. A. Coish, and S. Chesi, “Recent advances in hole-spin qubits,” Materials for Quantum Technology, vol. 3, no. 1, p. 012003, 2023</w:t>
      </w:r>
    </w:p>
    <w:p>
      <w:pPr>
        <w:pStyle w:val="Reference"/>
        <w:rPr/>
      </w:pPr>
      <w:r>
        <w:rPr/>
        <w:t xml:space="preserve">[2] </w:t>
      </w:r>
      <w:r>
        <w:rPr>
          <w:rFonts w:ascii="arial" w:hAnsi="arial"/>
          <w:sz w:val="22"/>
          <w:szCs w:val="22"/>
        </w:rPr>
        <w:t>J. Dijkema, X. Xue, P. Harvey-Collard, M. Rimbach-Russ, S. L. de Snoo, G. Zheng, A. Sammak, G. Scappucci, and L. M. K. Vandersypen, “Two-qubit logic between distant spins in silicon,” 2023.</w:t>
      </w:r>
    </w:p>
    <w:p>
      <w:pPr>
        <w:pStyle w:val="Reference"/>
        <w:rPr/>
      </w:pPr>
      <w:r>
        <w:rPr/>
        <w:t xml:space="preserve">[3] </w:t>
      </w:r>
      <w:r>
        <w:rPr>
          <w:rFonts w:ascii="arial" w:hAnsi="arial"/>
          <w:sz w:val="22"/>
          <w:szCs w:val="22"/>
        </w:rPr>
        <w:t xml:space="preserve">O. V. Kibis, M. V. Boev, V. M. Kovalev, and I. A. Shelykh, “Floquet engineering of the 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uttinger hamiltonian,” Phys. Rev. B, vol. 102, p. 035301, Jul 2020.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 xml:space="preserve">[4] </w:t>
      </w:r>
      <w:r>
        <w:rPr>
          <w:rFonts w:ascii="arial" w:hAnsi="arial"/>
          <w:sz w:val="22"/>
          <w:szCs w:val="22"/>
        </w:rPr>
        <w:t xml:space="preserve">Michal, Vincent P., et al. “Longitudinal and transverse electric field manipulation of hole spin-orbit qubits in one-dimensional channels.” </w:t>
      </w:r>
      <w:r>
        <w:rPr>
          <w:rFonts w:ascii="arial" w:hAnsi="arial"/>
          <w:i/>
          <w:sz w:val="22"/>
          <w:szCs w:val="22"/>
        </w:rPr>
        <w:t>Phys. Rev. B</w:t>
      </w:r>
      <w:r>
        <w:rPr>
          <w:rFonts w:ascii="arial" w:hAnsi="arial"/>
          <w:sz w:val="22"/>
          <w:szCs w:val="22"/>
        </w:rPr>
        <w:t>, vol. 103, no. 4, 19 Jan. 2021.</w:t>
      </w:r>
    </w:p>
    <w:p>
      <w:pPr>
        <w:pStyle w:val="Normal"/>
        <w:spacing w:before="0" w:after="1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default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DejaVu Sans"/>
        <w:kern w:val="2"/>
        <w:sz w:val="22"/>
        <w:szCs w:val="22"/>
        <w:lang w:val="en-AU" w:eastAsia="zh-TW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Arial" w:hAnsi="Arial" w:cs="Arial" w:eastAsia="新細明體"/>
      <w:color w:val="auto"/>
      <w:kern w:val="2"/>
      <w:sz w:val="22"/>
      <w:szCs w:val="22"/>
      <w:lang w:val="en-AU" w:eastAsia="zh-TW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libri Light" w:hAnsi="Calibri Light" w:eastAsia="新細明體" w:cs="DejaVu Sans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Calibri Light" w:hAnsi="Calibri Light" w:eastAsia="新細明體" w:cs="DejaVu Sans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新細明體" w:cs="DejaVu Sans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新細明體" w:cs="DejaVu Sans"/>
      <w:i/>
      <w:iCs/>
      <w:color w:val="2F5496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新細明體" w:cs="DejaVu Sans"/>
      <w:color w:val="2F5496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新細明體" w:cs="DejaVu Sans"/>
      <w:i/>
      <w:iCs/>
      <w:color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新細明體" w:cs="DejaVu Sans"/>
      <w:color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新細明體" w:cs="DejaVu Sans"/>
      <w:i/>
      <w:iCs/>
      <w:color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新細明體" w:cs="DejaVu Sans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 Light" w:hAnsi="Calibri Light" w:eastAsia="新細明體" w:cs="DejaVu Sans"/>
      <w:color w:val="2F5496"/>
      <w:sz w:val="40"/>
      <w:szCs w:val="40"/>
    </w:rPr>
  </w:style>
  <w:style w:type="character" w:styleId="Heading2Char">
    <w:name w:val="Heading 2 Char"/>
    <w:basedOn w:val="DefaultParagraphFont"/>
    <w:link w:val="Heading2"/>
    <w:qFormat/>
    <w:rPr>
      <w:rFonts w:ascii="Calibri Light" w:hAnsi="Calibri Light" w:eastAsia="新細明體" w:cs="DejaVu Sans"/>
      <w:color w:val="2F5496"/>
      <w:sz w:val="32"/>
      <w:szCs w:val="32"/>
    </w:rPr>
  </w:style>
  <w:style w:type="character" w:styleId="Heading3Char">
    <w:name w:val="Heading 3 Char"/>
    <w:basedOn w:val="DefaultParagraphFont"/>
    <w:link w:val="Heading3"/>
    <w:qFormat/>
    <w:rPr>
      <w:rFonts w:eastAsia="新細明體" w:cs="DejaVu Sans"/>
      <w:color w:val="2F5496"/>
      <w:sz w:val="28"/>
      <w:szCs w:val="28"/>
    </w:rPr>
  </w:style>
  <w:style w:type="character" w:styleId="Heading4Char">
    <w:name w:val="Heading 4 Char"/>
    <w:basedOn w:val="DefaultParagraphFont"/>
    <w:link w:val="Heading4"/>
    <w:qFormat/>
    <w:rPr>
      <w:rFonts w:eastAsia="新細明體" w:cs="DejaVu Sans"/>
      <w:i/>
      <w:iCs/>
      <w:color w:val="2F5496"/>
    </w:rPr>
  </w:style>
  <w:style w:type="character" w:styleId="Heading5Char">
    <w:name w:val="Heading 5 Char"/>
    <w:basedOn w:val="DefaultParagraphFont"/>
    <w:link w:val="Heading5"/>
    <w:qFormat/>
    <w:rPr>
      <w:rFonts w:eastAsia="新細明體" w:cs="DejaVu Sans"/>
      <w:color w:val="2F5496"/>
    </w:rPr>
  </w:style>
  <w:style w:type="character" w:styleId="Heading6Char">
    <w:name w:val="Heading 6 Char"/>
    <w:basedOn w:val="DefaultParagraphFont"/>
    <w:link w:val="Heading6"/>
    <w:qFormat/>
    <w:rPr>
      <w:rFonts w:eastAsia="新細明體" w:cs="DejaVu Sans"/>
      <w:i/>
      <w:iCs/>
      <w:color w:val="595959"/>
    </w:rPr>
  </w:style>
  <w:style w:type="character" w:styleId="Heading7Char">
    <w:name w:val="Heading 7 Char"/>
    <w:basedOn w:val="DefaultParagraphFont"/>
    <w:link w:val="Heading7"/>
    <w:qFormat/>
    <w:rPr>
      <w:rFonts w:eastAsia="新細明體" w:cs="DejaVu Sans"/>
      <w:color w:val="595959"/>
    </w:rPr>
  </w:style>
  <w:style w:type="character" w:styleId="Heading8Char">
    <w:name w:val="Heading 8 Char"/>
    <w:basedOn w:val="DefaultParagraphFont"/>
    <w:link w:val="Heading8"/>
    <w:qFormat/>
    <w:rPr>
      <w:rFonts w:eastAsia="新細明體" w:cs="DejaVu Sans"/>
      <w:i/>
      <w:iCs/>
      <w:color w:val="272727"/>
    </w:rPr>
  </w:style>
  <w:style w:type="character" w:styleId="Heading9Char">
    <w:name w:val="Heading 9 Char"/>
    <w:basedOn w:val="DefaultParagraphFont"/>
    <w:link w:val="Heading9"/>
    <w:qFormat/>
    <w:rPr>
      <w:rFonts w:eastAsia="新細明體" w:cs="DejaVu Sans"/>
      <w:color w:val="272727"/>
    </w:rPr>
  </w:style>
  <w:style w:type="character" w:styleId="TitleChar">
    <w:name w:val="Title Char"/>
    <w:basedOn w:val="DefaultParagraphFont"/>
    <w:link w:val="Title"/>
    <w:qFormat/>
    <w:rPr>
      <w:rFonts w:ascii="Arial" w:hAnsi="Arial" w:eastAsia="新細明體" w:cs="Arial"/>
      <w:spacing w:val="-10"/>
      <w:kern w:val="2"/>
      <w:sz w:val="40"/>
      <w:szCs w:val="40"/>
    </w:rPr>
  </w:style>
  <w:style w:type="character" w:styleId="SubtitleChar">
    <w:name w:val="Subtitle Char"/>
    <w:basedOn w:val="DefaultParagraphFont"/>
    <w:link w:val="Subtitle"/>
    <w:qFormat/>
    <w:rPr>
      <w:rFonts w:eastAsia="新細明體" w:cs="DejaVu Sans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2F5496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val="2F5496"/>
      <w:spacing w:val="5"/>
    </w:rPr>
  </w:style>
  <w:style w:type="character" w:styleId="AuthorlistChar">
    <w:name w:val="Author list Char"/>
    <w:basedOn w:val="DefaultParagraphFont"/>
    <w:link w:val="Authorlist"/>
    <w:qFormat/>
    <w:rPr>
      <w:rFonts w:ascii="Arial" w:hAnsi="Arial" w:cs="Arial"/>
    </w:rPr>
  </w:style>
  <w:style w:type="character" w:styleId="AffiliationChar">
    <w:name w:val="Affiliation Char"/>
    <w:basedOn w:val="DefaultParagraphFont"/>
    <w:link w:val="Affiliation"/>
    <w:qFormat/>
    <w:rPr>
      <w:rFonts w:ascii="Arial" w:hAnsi="Arial"/>
      <w:i/>
    </w:rPr>
  </w:style>
  <w:style w:type="character" w:styleId="HeaderChar">
    <w:name w:val="Header Char"/>
    <w:basedOn w:val="DefaultParagraphFont"/>
    <w:link w:val="Header"/>
    <w:qFormat/>
    <w:rPr>
      <w:rFonts w:ascii="Arial" w:hAnsi="Arial" w:cs="Arial"/>
    </w:rPr>
  </w:style>
  <w:style w:type="character" w:styleId="FooterChar">
    <w:name w:val="Footer Char"/>
    <w:basedOn w:val="DefaultParagraphFont"/>
    <w:link w:val="Footer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  <w:jc w:val="center"/>
    </w:pPr>
    <w:rPr>
      <w:rFonts w:eastAsia="新細明體"/>
      <w:spacing w:val="-10"/>
      <w:kern w:val="2"/>
      <w:sz w:val="40"/>
      <w:szCs w:val="40"/>
    </w:rPr>
  </w:style>
  <w:style w:type="paragraph" w:styleId="Subtitle">
    <w:name w:val="Subtitle"/>
    <w:basedOn w:val="Normal"/>
    <w:next w:val="Normal"/>
    <w:link w:val="SubtitleChar"/>
    <w:qFormat/>
    <w:pPr/>
    <w:rPr>
      <w:rFonts w:eastAsia="新細明體" w:cs="DejaVu Sans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start="720" w:end="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2F5496"/>
        <w:bottom w:val="single" w:sz="4" w:space="10" w:color="2F5496"/>
      </w:pBdr>
      <w:spacing w:before="360" w:after="360"/>
      <w:ind w:start="864" w:end="864" w:hanging="0"/>
      <w:jc w:val="center"/>
    </w:pPr>
    <w:rPr>
      <w:i/>
      <w:iCs/>
      <w:color w:val="2F5496"/>
    </w:rPr>
  </w:style>
  <w:style w:type="paragraph" w:styleId="Authorlist">
    <w:name w:val="Author list"/>
    <w:basedOn w:val="Normal"/>
    <w:link w:val="AuthorlistChar"/>
    <w:qFormat/>
    <w:pPr>
      <w:jc w:val="center"/>
    </w:pPr>
    <w:rPr/>
  </w:style>
  <w:style w:type="paragraph" w:styleId="Affiliation">
    <w:name w:val="Affiliation"/>
    <w:basedOn w:val="Normal"/>
    <w:link w:val="AffiliationChar"/>
    <w:qFormat/>
    <w:pPr>
      <w:spacing w:before="0" w:after="0"/>
      <w:jc w:val="center"/>
    </w:pPr>
    <w:rPr>
      <w:i/>
    </w:rPr>
  </w:style>
  <w:style w:type="paragraph" w:styleId="Caption1">
    <w:name w:val="caption"/>
    <w:basedOn w:val="Normal"/>
    <w:next w:val="Normal"/>
    <w:qFormat/>
    <w:pPr>
      <w:spacing w:lineRule="auto" w:line="240" w:before="0" w:after="200"/>
      <w:jc w:val="center"/>
    </w:pPr>
    <w:rPr>
      <w:i/>
      <w:iCs/>
      <w:sz w:val="20"/>
      <w:szCs w:val="18"/>
    </w:rPr>
  </w:style>
  <w:style w:type="paragraph" w:styleId="Reference">
    <w:name w:val="Reference"/>
    <w:basedOn w:val="Normal"/>
    <w:qFormat/>
    <w:pPr>
      <w:spacing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LibreOffice/7.3.7.2$Linux_X86_64 LibreOffice_project/30$Build-2</Application>
  <AppVersion>15.0000</AppVersion>
  <Pages>1</Pages>
  <Words>357</Words>
  <Characters>2057</Characters>
  <CharactersWithSpaces>2405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2024-05-21T00:35:00Z</dcterms:created>
  <dc:creator>Henry Yang</dc:creator>
  <dc:description/>
  <dc:language>en-US</dc:language>
  <cp:lastModifiedBy/>
  <dcterms:modified xsi:type="dcterms:W3CDTF">2024-08-27T08:19:33Z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