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4B616" w14:textId="160D7011" w:rsidR="00A8352C" w:rsidRPr="00C77156" w:rsidRDefault="008658B3" w:rsidP="001E4F9A">
      <w:pPr>
        <w:pStyle w:val="Title"/>
      </w:pPr>
      <w:r>
        <w:t>Four-</w:t>
      </w:r>
      <w:r w:rsidR="00DF16C9">
        <w:t xml:space="preserve">Spin Qubit Array in </w:t>
      </w:r>
      <w:proofErr w:type="spellStart"/>
      <w:r w:rsidR="00DF16C9">
        <w:t>SiMOS</w:t>
      </w:r>
      <w:proofErr w:type="spellEnd"/>
      <w:r w:rsidR="00DF16C9">
        <w:t xml:space="preserve"> with Parallel Parity Readout</w:t>
      </w:r>
    </w:p>
    <w:p w14:paraId="3D347CEE" w14:textId="412EF47E" w:rsidR="00726EC3" w:rsidRPr="00726EC3" w:rsidRDefault="00726EC3" w:rsidP="00603A09">
      <w:pPr>
        <w:pStyle w:val="Affiliation"/>
        <w:rPr>
          <w:i w:val="0"/>
        </w:rPr>
      </w:pPr>
      <w:r w:rsidRPr="00726EC3">
        <w:rPr>
          <w:i w:val="0"/>
        </w:rPr>
        <w:t>Cameron Jones</w:t>
      </w:r>
      <w:r w:rsidR="00603A09" w:rsidRPr="00583EC3">
        <w:rPr>
          <w:rFonts w:hint="eastAsia"/>
          <w:i w:val="0"/>
          <w:vertAlign w:val="superscript"/>
        </w:rPr>
        <w:t>1</w:t>
      </w:r>
      <w:r w:rsidRPr="00726EC3">
        <w:rPr>
          <w:i w:val="0"/>
        </w:rPr>
        <w:t>,</w:t>
      </w:r>
      <w:r w:rsidR="00603A09" w:rsidRPr="00583EC3">
        <w:rPr>
          <w:i w:val="0"/>
        </w:rPr>
        <w:t xml:space="preserve"> </w:t>
      </w:r>
      <w:r w:rsidRPr="00726EC3">
        <w:rPr>
          <w:i w:val="0"/>
        </w:rPr>
        <w:t>Santiago Serrano</w:t>
      </w:r>
      <w:r w:rsidR="007C7FF7" w:rsidRPr="00583EC3">
        <w:rPr>
          <w:rFonts w:hint="eastAsia"/>
          <w:i w:val="0"/>
          <w:vertAlign w:val="superscript"/>
        </w:rPr>
        <w:t>1</w:t>
      </w:r>
      <w:r w:rsidR="007C7FF7" w:rsidRPr="00583EC3">
        <w:rPr>
          <w:i w:val="0"/>
          <w:vertAlign w:val="superscript"/>
        </w:rPr>
        <w:t>,2</w:t>
      </w:r>
      <w:r w:rsidRPr="00726EC3">
        <w:rPr>
          <w:i w:val="0"/>
        </w:rPr>
        <w:t xml:space="preserve">, </w:t>
      </w:r>
      <w:r w:rsidR="00603A09" w:rsidRPr="00726EC3">
        <w:rPr>
          <w:i w:val="0"/>
        </w:rPr>
        <w:t>Jonathan Y. Huang</w:t>
      </w:r>
      <w:r w:rsidR="007C7FF7" w:rsidRPr="00583EC3">
        <w:rPr>
          <w:rFonts w:hint="eastAsia"/>
          <w:i w:val="0"/>
          <w:vertAlign w:val="superscript"/>
        </w:rPr>
        <w:t>1</w:t>
      </w:r>
      <w:r w:rsidR="00603A09" w:rsidRPr="00726EC3">
        <w:rPr>
          <w:i w:val="0"/>
        </w:rPr>
        <w:t xml:space="preserve">, </w:t>
      </w:r>
      <w:r w:rsidRPr="00726EC3">
        <w:rPr>
          <w:i w:val="0"/>
        </w:rPr>
        <w:t>Wee Han Li</w:t>
      </w:r>
      <w:r w:rsidR="00342676" w:rsidRPr="00583EC3">
        <w:rPr>
          <w:i w:val="0"/>
        </w:rPr>
        <w:t>m</w:t>
      </w:r>
      <w:r w:rsidR="007C7FF7" w:rsidRPr="00583EC3">
        <w:rPr>
          <w:i w:val="0"/>
          <w:vertAlign w:val="superscript"/>
        </w:rPr>
        <w:t>2</w:t>
      </w:r>
      <w:r w:rsidRPr="00726EC3">
        <w:rPr>
          <w:i w:val="0"/>
        </w:rPr>
        <w:t xml:space="preserve">, </w:t>
      </w:r>
      <w:proofErr w:type="spellStart"/>
      <w:r w:rsidRPr="00726EC3">
        <w:rPr>
          <w:i w:val="0"/>
        </w:rPr>
        <w:t>MengKe</w:t>
      </w:r>
      <w:proofErr w:type="spellEnd"/>
      <w:r w:rsidRPr="00726EC3">
        <w:rPr>
          <w:i w:val="0"/>
        </w:rPr>
        <w:t xml:space="preserve"> Feng</w:t>
      </w:r>
      <w:r w:rsidR="007C7FF7" w:rsidRPr="00583EC3">
        <w:rPr>
          <w:rFonts w:hint="eastAsia"/>
          <w:i w:val="0"/>
          <w:vertAlign w:val="superscript"/>
        </w:rPr>
        <w:t>1</w:t>
      </w:r>
      <w:r w:rsidR="007C7FF7" w:rsidRPr="00583EC3">
        <w:rPr>
          <w:i w:val="0"/>
          <w:vertAlign w:val="superscript"/>
        </w:rPr>
        <w:t>,2</w:t>
      </w:r>
      <w:r w:rsidRPr="00726EC3">
        <w:rPr>
          <w:i w:val="0"/>
        </w:rPr>
        <w:t>, Tuomo Tanttu</w:t>
      </w:r>
      <w:r w:rsidR="007C7FF7" w:rsidRPr="00583EC3">
        <w:rPr>
          <w:rFonts w:hint="eastAsia"/>
          <w:i w:val="0"/>
          <w:vertAlign w:val="superscript"/>
        </w:rPr>
        <w:t>1</w:t>
      </w:r>
      <w:r w:rsidR="007C7FF7" w:rsidRPr="00583EC3">
        <w:rPr>
          <w:i w:val="0"/>
          <w:vertAlign w:val="superscript"/>
        </w:rPr>
        <w:t>,2</w:t>
      </w:r>
      <w:r w:rsidRPr="00726EC3">
        <w:rPr>
          <w:i w:val="0"/>
        </w:rPr>
        <w:t>, Fay E. Hudson</w:t>
      </w:r>
      <w:r w:rsidR="007C7FF7" w:rsidRPr="00583EC3">
        <w:rPr>
          <w:i w:val="0"/>
          <w:vertAlign w:val="superscript"/>
        </w:rPr>
        <w:t>1,2</w:t>
      </w:r>
      <w:r w:rsidRPr="00726EC3">
        <w:rPr>
          <w:i w:val="0"/>
        </w:rPr>
        <w:t>, Arne Laucht</w:t>
      </w:r>
      <w:r w:rsidR="007C7FF7" w:rsidRPr="00583EC3">
        <w:rPr>
          <w:rFonts w:hint="eastAsia"/>
          <w:i w:val="0"/>
          <w:vertAlign w:val="superscript"/>
        </w:rPr>
        <w:t>1</w:t>
      </w:r>
      <w:r w:rsidR="00F52EBA" w:rsidRPr="00583EC3">
        <w:rPr>
          <w:i w:val="0"/>
          <w:vertAlign w:val="superscript"/>
        </w:rPr>
        <w:t>,2</w:t>
      </w:r>
      <w:r w:rsidRPr="00726EC3">
        <w:rPr>
          <w:i w:val="0"/>
        </w:rPr>
        <w:t>, Andre Saraiva</w:t>
      </w:r>
      <w:r w:rsidR="00F52EBA" w:rsidRPr="00583EC3">
        <w:rPr>
          <w:i w:val="0"/>
          <w:vertAlign w:val="superscript"/>
        </w:rPr>
        <w:t>2</w:t>
      </w:r>
      <w:r w:rsidRPr="00726EC3">
        <w:rPr>
          <w:i w:val="0"/>
        </w:rPr>
        <w:t>, Andrew S. Dzurak</w:t>
      </w:r>
      <w:r w:rsidR="00F52EBA" w:rsidRPr="00583EC3">
        <w:rPr>
          <w:rFonts w:hint="eastAsia"/>
          <w:i w:val="0"/>
          <w:vertAlign w:val="superscript"/>
        </w:rPr>
        <w:t>1</w:t>
      </w:r>
      <w:r w:rsidR="00F52EBA" w:rsidRPr="00583EC3">
        <w:rPr>
          <w:i w:val="0"/>
          <w:vertAlign w:val="superscript"/>
        </w:rPr>
        <w:t>,2</w:t>
      </w:r>
      <w:r w:rsidRPr="00726EC3">
        <w:rPr>
          <w:i w:val="0"/>
        </w:rPr>
        <w:t>, Chih Hwan Yang</w:t>
      </w:r>
      <w:r w:rsidR="00F52EBA" w:rsidRPr="00583EC3">
        <w:rPr>
          <w:rFonts w:hint="eastAsia"/>
          <w:i w:val="0"/>
          <w:vertAlign w:val="superscript"/>
        </w:rPr>
        <w:t>1</w:t>
      </w:r>
      <w:r w:rsidR="00F52EBA" w:rsidRPr="00583EC3">
        <w:rPr>
          <w:i w:val="0"/>
          <w:vertAlign w:val="superscript"/>
        </w:rPr>
        <w:t>,2</w:t>
      </w:r>
    </w:p>
    <w:p w14:paraId="4CEF7C81" w14:textId="77777777" w:rsidR="00583EC3" w:rsidRDefault="00583EC3" w:rsidP="001E4F9A">
      <w:pPr>
        <w:pStyle w:val="Affiliation"/>
        <w:rPr>
          <w:iCs/>
          <w:vertAlign w:val="superscript"/>
        </w:rPr>
      </w:pPr>
    </w:p>
    <w:p w14:paraId="1DD8B8BA" w14:textId="7DB61278" w:rsidR="00C77156" w:rsidRPr="00C77156" w:rsidRDefault="00224950" w:rsidP="001E4F9A">
      <w:pPr>
        <w:pStyle w:val="Affiliation"/>
      </w:pPr>
      <w:r w:rsidRPr="00224950">
        <w:rPr>
          <w:rFonts w:hint="eastAsia"/>
          <w:iCs/>
          <w:vertAlign w:val="superscript"/>
        </w:rPr>
        <w:t>1</w:t>
      </w:r>
      <w:r w:rsidR="009924B6">
        <w:t>University of New South Wales</w:t>
      </w:r>
      <w:r w:rsidR="00D134F2">
        <w:t>, Sydney, NSW 2052, Australia</w:t>
      </w:r>
    </w:p>
    <w:p w14:paraId="081FFB1B" w14:textId="19764798" w:rsidR="00C77156" w:rsidRDefault="00224950" w:rsidP="00603A09">
      <w:pPr>
        <w:pStyle w:val="Affiliation"/>
      </w:pPr>
      <w:r>
        <w:rPr>
          <w:rFonts w:hint="eastAsia"/>
          <w:iCs/>
          <w:vertAlign w:val="superscript"/>
        </w:rPr>
        <w:t>2</w:t>
      </w:r>
      <w:r w:rsidR="009924B6">
        <w:t>Diraq</w:t>
      </w:r>
      <w:r w:rsidR="00D134F2">
        <w:t>, Sydney, NSW 2052, Australia</w:t>
      </w:r>
    </w:p>
    <w:p w14:paraId="49373D7E" w14:textId="77777777" w:rsidR="00480AB4" w:rsidRDefault="00480AB4" w:rsidP="001E4F9A"/>
    <w:p w14:paraId="47B56DBA" w14:textId="454CCF5C" w:rsidR="00224950" w:rsidRDefault="00A46610" w:rsidP="00412482">
      <w:pPr>
        <w:jc w:val="both"/>
      </w:pPr>
      <w:r w:rsidRPr="00A46610">
        <w:t>To date, high fidelity single and two qubit gates have been routinely achieved in Silicon-MOS (</w:t>
      </w:r>
      <w:proofErr w:type="spellStart"/>
      <w:r w:rsidRPr="00A46610">
        <w:t>SiMOS</w:t>
      </w:r>
      <w:proofErr w:type="spellEnd"/>
      <w:r w:rsidRPr="00A46610">
        <w:t xml:space="preserve">) devices. Demonstration of qubit entanglement with more than two quits in such devices has however remained elusive.  In this work we present a four-qubit device formed by a linear array of </w:t>
      </w:r>
      <w:proofErr w:type="spellStart"/>
      <w:r w:rsidRPr="00A46610">
        <w:t>SiMOS</w:t>
      </w:r>
      <w:proofErr w:type="spellEnd"/>
      <w:r w:rsidRPr="00A46610">
        <w:t xml:space="preserve"> quantum dots, each populated by an electron spin qubit, as seen in figure 1.a. An on-chip antenna allows for electron spin resonance for single qubit</w:t>
      </w:r>
      <w:r>
        <w:t xml:space="preserve"> </w:t>
      </w:r>
      <w:r w:rsidRPr="00A46610">
        <w:t xml:space="preserve">operations, and electrode gates between dots provide tuneable exchange coupling required for two-qubit operations. With this device, we demonstrate coherent single qubit operation of all four qubits, as well as pairwise exchange coupling between each nearest neighbour qubit pair. This allows for universal qubit control of the four-qubit processor. Additionally, we </w:t>
      </w:r>
      <w:proofErr w:type="gramStart"/>
      <w:r w:rsidRPr="00A46610">
        <w:t>are able to</w:t>
      </w:r>
      <w:proofErr w:type="gramEnd"/>
      <w:r w:rsidRPr="00A46610">
        <w:t xml:space="preserve"> achieve high fidelity initialisation of all qubits, and independent parity readout of the Q1-Q2 and Q3-Q4 pairs in a single measurement shot. Finally, we demonstrate the generation of a 3-qubit Greenberger–Horne–Zeilinger (GHZ) state. By performing quantum state tomography on the entangled state,</w:t>
      </w:r>
      <w:r w:rsidR="00412482">
        <w:t xml:space="preserve"> </w:t>
      </w:r>
      <w:r w:rsidRPr="00A46610">
        <w:t>we reconstruct the density matrix shown in figure 1.b. From these measurements, we calculate a Mermin witness value for the state that is greater than the classical limit of 2.</w:t>
      </w:r>
      <w:r w:rsidR="00412482">
        <w:t xml:space="preserve"> </w:t>
      </w:r>
      <w:r w:rsidRPr="00A46610">
        <w:t xml:space="preserve">This shows successful demonstration of 3 qubit entanglement in a </w:t>
      </w:r>
      <w:proofErr w:type="spellStart"/>
      <w:r w:rsidRPr="00A46610">
        <w:t>SiMOS</w:t>
      </w:r>
      <w:proofErr w:type="spellEnd"/>
      <w:r w:rsidRPr="00A46610">
        <w:t xml:space="preserve"> device, using two pairs of parity readout</w:t>
      </w:r>
      <w:r w:rsidR="00412482">
        <w:t>.</w:t>
      </w:r>
    </w:p>
    <w:p w14:paraId="4A6C02CD" w14:textId="77777777" w:rsidR="00412482" w:rsidRDefault="00412482" w:rsidP="001E4F9A"/>
    <w:p w14:paraId="612B4B93" w14:textId="54FF409C" w:rsidR="00412482" w:rsidRPr="00C77156" w:rsidRDefault="00412482" w:rsidP="00412482">
      <w:pPr>
        <w:jc w:val="center"/>
      </w:pPr>
      <w:r>
        <w:rPr>
          <w:b/>
          <w:bCs/>
          <w:noProof/>
        </w:rPr>
        <w:drawing>
          <wp:inline distT="0" distB="0" distL="0" distR="0" wp14:anchorId="5F5E8453" wp14:editId="021E328E">
            <wp:extent cx="5435600" cy="3552957"/>
            <wp:effectExtent l="0" t="0" r="0" b="9525"/>
            <wp:docPr id="107242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422736" name="Picture 1072422736"/>
                    <pic:cNvPicPr/>
                  </pic:nvPicPr>
                  <pic:blipFill>
                    <a:blip r:embed="rId10">
                      <a:extLst>
                        <a:ext uri="{28A0092B-C50C-407E-A947-70E740481C1C}">
                          <a14:useLocalDpi xmlns:a14="http://schemas.microsoft.com/office/drawing/2010/main" val="0"/>
                        </a:ext>
                      </a:extLst>
                    </a:blip>
                    <a:stretch>
                      <a:fillRect/>
                    </a:stretch>
                  </pic:blipFill>
                  <pic:spPr>
                    <a:xfrm>
                      <a:off x="0" y="0"/>
                      <a:ext cx="5454522" cy="3565325"/>
                    </a:xfrm>
                    <a:prstGeom prst="rect">
                      <a:avLst/>
                    </a:prstGeom>
                  </pic:spPr>
                </pic:pic>
              </a:graphicData>
            </a:graphic>
          </wp:inline>
        </w:drawing>
      </w:r>
    </w:p>
    <w:sectPr w:rsidR="00412482"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604CD" w14:textId="77777777" w:rsidR="00CE15CF" w:rsidRDefault="00CE15CF" w:rsidP="00CE15CF">
      <w:pPr>
        <w:spacing w:after="0" w:line="240" w:lineRule="auto"/>
      </w:pPr>
      <w:r>
        <w:separator/>
      </w:r>
    </w:p>
  </w:endnote>
  <w:endnote w:type="continuationSeparator" w:id="0">
    <w:p w14:paraId="71BC0156" w14:textId="77777777" w:rsidR="00CE15CF" w:rsidRDefault="00CE15CF"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F7FB" w14:textId="77777777" w:rsidR="00CE15CF" w:rsidRDefault="00CE15CF" w:rsidP="00CE15CF">
      <w:pPr>
        <w:spacing w:after="0" w:line="240" w:lineRule="auto"/>
      </w:pPr>
      <w:r>
        <w:separator/>
      </w:r>
    </w:p>
  </w:footnote>
  <w:footnote w:type="continuationSeparator" w:id="0">
    <w:p w14:paraId="1376E7D4" w14:textId="77777777" w:rsidR="00CE15CF" w:rsidRDefault="00CE15CF"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44669"/>
    <w:rsid w:val="00192CFE"/>
    <w:rsid w:val="00196367"/>
    <w:rsid w:val="001E4F9A"/>
    <w:rsid w:val="00224950"/>
    <w:rsid w:val="00310969"/>
    <w:rsid w:val="00342676"/>
    <w:rsid w:val="00354FC6"/>
    <w:rsid w:val="003A4DD3"/>
    <w:rsid w:val="003B5A75"/>
    <w:rsid w:val="00412482"/>
    <w:rsid w:val="00480AB4"/>
    <w:rsid w:val="004C18D2"/>
    <w:rsid w:val="00514895"/>
    <w:rsid w:val="00516EC1"/>
    <w:rsid w:val="00573209"/>
    <w:rsid w:val="00583EC3"/>
    <w:rsid w:val="00603A09"/>
    <w:rsid w:val="0069213C"/>
    <w:rsid w:val="00694951"/>
    <w:rsid w:val="00726EC3"/>
    <w:rsid w:val="00751E64"/>
    <w:rsid w:val="007553E8"/>
    <w:rsid w:val="007B47C9"/>
    <w:rsid w:val="007C7FF7"/>
    <w:rsid w:val="008658B3"/>
    <w:rsid w:val="009924B6"/>
    <w:rsid w:val="009971EA"/>
    <w:rsid w:val="00A00D9F"/>
    <w:rsid w:val="00A322E1"/>
    <w:rsid w:val="00A46610"/>
    <w:rsid w:val="00A50716"/>
    <w:rsid w:val="00A8352C"/>
    <w:rsid w:val="00AE30CA"/>
    <w:rsid w:val="00AE43D2"/>
    <w:rsid w:val="00B24FDF"/>
    <w:rsid w:val="00BA4C5D"/>
    <w:rsid w:val="00C06AC6"/>
    <w:rsid w:val="00C77156"/>
    <w:rsid w:val="00CE11C9"/>
    <w:rsid w:val="00CE15CF"/>
    <w:rsid w:val="00D134F2"/>
    <w:rsid w:val="00DF16C9"/>
    <w:rsid w:val="00EA0133"/>
    <w:rsid w:val="00EE472A"/>
    <w:rsid w:val="00F30FBB"/>
    <w:rsid w:val="00F52EBA"/>
    <w:rsid w:val="00F72151"/>
    <w:rsid w:val="00F96A9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7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3.xml><?xml version="1.0" encoding="utf-8"?>
<ds:datastoreItem xmlns:ds="http://schemas.openxmlformats.org/officeDocument/2006/customXml" ds:itemID="{2C8C25F3-1320-41DD-BDBD-A894904C2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Cameron Jones</cp:lastModifiedBy>
  <cp:revision>17</cp:revision>
  <dcterms:created xsi:type="dcterms:W3CDTF">2024-07-30T09:58:00Z</dcterms:created>
  <dcterms:modified xsi:type="dcterms:W3CDTF">2024-07-30T10:10:00Z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