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7D4CD32D" w:rsidR="00A8352C" w:rsidRPr="000D0FAD" w:rsidRDefault="00350DA8" w:rsidP="001E4F9A">
      <w:pPr>
        <w:pStyle w:val="Title"/>
      </w:pPr>
      <w:r>
        <w:rPr>
          <w:rFonts w:eastAsia="DengXian" w:hint="eastAsia"/>
          <w:lang w:eastAsia="zh-CN"/>
        </w:rPr>
        <w:t xml:space="preserve">Rf readout with </w:t>
      </w:r>
      <w:proofErr w:type="spellStart"/>
      <w:r w:rsidR="008115CE">
        <w:rPr>
          <w:rFonts w:eastAsia="DengXian"/>
          <w:lang w:eastAsia="zh-CN"/>
        </w:rPr>
        <w:t>NbTiN</w:t>
      </w:r>
      <w:proofErr w:type="spellEnd"/>
      <w:r w:rsidR="008115CE"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high kinetic induct</w:t>
      </w:r>
      <w:r w:rsidR="008115CE">
        <w:rPr>
          <w:rFonts w:eastAsia="DengXian"/>
          <w:lang w:eastAsia="zh-CN"/>
        </w:rPr>
        <w:t>or</w:t>
      </w:r>
    </w:p>
    <w:p w14:paraId="4393ABC7" w14:textId="6CC49D59" w:rsidR="00C77156" w:rsidRPr="00AE28E4" w:rsidRDefault="00E36EC9" w:rsidP="00EC1C19">
      <w:pPr>
        <w:pStyle w:val="Authorlist"/>
        <w:rPr>
          <w:rFonts w:eastAsia="DengXian"/>
          <w:lang w:eastAsia="zh-CN"/>
        </w:rPr>
      </w:pPr>
      <w:r w:rsidRPr="000D0FAD">
        <w:t>D</w:t>
      </w:r>
      <w:r w:rsidR="00854A55" w:rsidRPr="000D0FAD">
        <w:t>esmond</w:t>
      </w:r>
      <w:r w:rsidRPr="000D0FAD">
        <w:t xml:space="preserve"> Kim Chye</w:t>
      </w:r>
      <w:r w:rsidR="008E7489">
        <w:t>,</w:t>
      </w:r>
      <w:r w:rsidR="008E7489" w:rsidRPr="008E7489">
        <w:t xml:space="preserve"> </w:t>
      </w:r>
      <w:r w:rsidR="008E7489" w:rsidRPr="000D0FAD">
        <w:t>Cheng</w:t>
      </w:r>
      <w:r w:rsidR="00224950" w:rsidRPr="000D0FAD">
        <w:rPr>
          <w:rFonts w:hint="eastAsia"/>
          <w:vertAlign w:val="superscript"/>
        </w:rPr>
        <w:t>1</w:t>
      </w:r>
      <w:r w:rsidR="00AE28E4" w:rsidRPr="00AE28E4">
        <w:rPr>
          <w:rFonts w:eastAsia="DengXian" w:hint="eastAsia"/>
          <w:lang w:eastAsia="zh-CN"/>
        </w:rPr>
        <w:t>,</w:t>
      </w:r>
      <w:r w:rsidR="00AE28E4">
        <w:rPr>
          <w:rFonts w:eastAsia="DengXian" w:hint="eastAsia"/>
          <w:lang w:eastAsia="zh-CN"/>
        </w:rPr>
        <w:t xml:space="preserve"> </w:t>
      </w:r>
      <w:r w:rsidR="004C4E15">
        <w:rPr>
          <w:rFonts w:eastAsia="DengXian" w:hint="eastAsia"/>
          <w:lang w:eastAsia="zh-CN"/>
        </w:rPr>
        <w:t>Chun-Lun</w:t>
      </w:r>
      <w:r w:rsidR="008E7489">
        <w:rPr>
          <w:rFonts w:eastAsia="DengXian"/>
          <w:lang w:eastAsia="zh-CN"/>
        </w:rPr>
        <w:t>, Wang</w:t>
      </w:r>
      <w:r w:rsidR="004C4E15">
        <w:rPr>
          <w:rFonts w:eastAsia="DengXian" w:hint="eastAsia"/>
          <w:vertAlign w:val="superscript"/>
          <w:lang w:eastAsia="zh-CN"/>
        </w:rPr>
        <w:t>2</w:t>
      </w:r>
      <w:r w:rsidR="004C4E15">
        <w:rPr>
          <w:rFonts w:eastAsia="DengXian" w:hint="eastAsia"/>
          <w:lang w:eastAsia="zh-CN"/>
        </w:rPr>
        <w:t>,</w:t>
      </w:r>
      <w:r w:rsidR="004C4E15">
        <w:rPr>
          <w:rFonts w:eastAsia="DengXian"/>
          <w:lang w:eastAsia="zh-CN"/>
        </w:rPr>
        <w:t xml:space="preserve"> </w:t>
      </w:r>
      <w:r w:rsidR="004C4E15">
        <w:rPr>
          <w:rFonts w:eastAsia="DengXian" w:hint="eastAsia"/>
          <w:lang w:eastAsia="zh-CN"/>
        </w:rPr>
        <w:t>Jian-Chang</w:t>
      </w:r>
      <w:r w:rsidR="008E7489">
        <w:rPr>
          <w:rFonts w:eastAsia="DengXian"/>
          <w:lang w:eastAsia="zh-CN"/>
        </w:rPr>
        <w:t>, Zeng</w:t>
      </w:r>
      <w:r w:rsidR="004C4E15" w:rsidRPr="000D0FAD">
        <w:rPr>
          <w:rFonts w:hint="eastAsia"/>
          <w:vertAlign w:val="superscript"/>
        </w:rPr>
        <w:t>1</w:t>
      </w:r>
      <w:r w:rsidR="004C4E15">
        <w:rPr>
          <w:rFonts w:eastAsia="DengXian" w:hint="eastAsia"/>
          <w:lang w:eastAsia="zh-CN"/>
        </w:rPr>
        <w:t xml:space="preserve">, </w:t>
      </w:r>
      <w:r w:rsidR="004C4E15" w:rsidRPr="00EC1C19">
        <w:rPr>
          <w:rFonts w:eastAsia="DengXian"/>
          <w:lang w:eastAsia="zh-CN"/>
        </w:rPr>
        <w:t>Tien</w:t>
      </w:r>
      <w:r w:rsidR="004C4E15">
        <w:rPr>
          <w:rFonts w:eastAsia="DengXian" w:hint="eastAsia"/>
          <w:lang w:eastAsia="zh-CN"/>
        </w:rPr>
        <w:t>-</w:t>
      </w:r>
      <w:r w:rsidR="004C4E15" w:rsidRPr="00EC1C19">
        <w:rPr>
          <w:rFonts w:eastAsia="DengXian"/>
          <w:lang w:eastAsia="zh-CN"/>
        </w:rPr>
        <w:t>Ho</w:t>
      </w:r>
      <w:r w:rsidR="008E7489">
        <w:rPr>
          <w:rFonts w:eastAsia="DengXian"/>
          <w:lang w:eastAsia="zh-CN"/>
        </w:rPr>
        <w:t>, Chang</w:t>
      </w:r>
      <w:r w:rsidR="004C4E15" w:rsidRPr="000D0FAD">
        <w:rPr>
          <w:rFonts w:hint="eastAsia"/>
          <w:vertAlign w:val="superscript"/>
        </w:rPr>
        <w:t>1</w:t>
      </w:r>
      <w:r w:rsidR="004C4E15">
        <w:rPr>
          <w:rFonts w:eastAsia="DengXian" w:hint="eastAsia"/>
          <w:lang w:eastAsia="zh-CN"/>
        </w:rPr>
        <w:t>,</w:t>
      </w:r>
      <w:r w:rsidR="004C4E15">
        <w:rPr>
          <w:rFonts w:eastAsia="DengXian"/>
          <w:lang w:eastAsia="zh-CN"/>
        </w:rPr>
        <w:br/>
      </w:r>
      <w:r w:rsidR="004C4E15" w:rsidRPr="00EC1C19">
        <w:rPr>
          <w:rFonts w:eastAsia="DengXian"/>
          <w:lang w:eastAsia="zh-CN"/>
        </w:rPr>
        <w:t>Chia-Hao</w:t>
      </w:r>
      <w:r w:rsidR="008E7489">
        <w:rPr>
          <w:rFonts w:eastAsia="DengXian"/>
          <w:lang w:eastAsia="zh-CN"/>
        </w:rPr>
        <w:t>, Wei</w:t>
      </w:r>
      <w:r w:rsidR="004C4E15" w:rsidRPr="000D0FAD">
        <w:rPr>
          <w:rFonts w:hint="eastAsia"/>
          <w:vertAlign w:val="superscript"/>
        </w:rPr>
        <w:t>1</w:t>
      </w:r>
      <w:r w:rsidR="004C4E15">
        <w:rPr>
          <w:rFonts w:eastAsia="DengXian" w:hint="eastAsia"/>
          <w:lang w:eastAsia="zh-CN"/>
        </w:rPr>
        <w:t>, Chi-Wei</w:t>
      </w:r>
      <w:r w:rsidR="008E7489">
        <w:rPr>
          <w:rFonts w:eastAsia="DengXian"/>
          <w:lang w:eastAsia="zh-CN"/>
        </w:rPr>
        <w:t>, Lee</w:t>
      </w:r>
      <w:r w:rsidR="004C4E15" w:rsidRPr="000D0FAD">
        <w:rPr>
          <w:rFonts w:hint="eastAsia"/>
          <w:vertAlign w:val="superscript"/>
        </w:rPr>
        <w:t>1</w:t>
      </w:r>
      <w:r w:rsidR="00EC1C19">
        <w:rPr>
          <w:rFonts w:eastAsia="DengXian" w:hint="eastAsia"/>
          <w:lang w:eastAsia="zh-CN"/>
        </w:rPr>
        <w:t xml:space="preserve">, </w:t>
      </w:r>
      <w:r w:rsidR="00EC1C19" w:rsidRPr="00EC1C19">
        <w:rPr>
          <w:rFonts w:eastAsia="DengXian"/>
          <w:lang w:eastAsia="zh-CN"/>
        </w:rPr>
        <w:t>Ming-Jye</w:t>
      </w:r>
      <w:r w:rsidR="008E7489">
        <w:rPr>
          <w:rFonts w:eastAsia="DengXian"/>
          <w:lang w:eastAsia="zh-CN"/>
        </w:rPr>
        <w:t xml:space="preserve">, </w:t>
      </w:r>
      <w:r w:rsidR="008E7489">
        <w:rPr>
          <w:rFonts w:eastAsia="DengXian" w:hint="eastAsia"/>
          <w:lang w:eastAsia="zh-CN"/>
        </w:rPr>
        <w:t>Wang</w:t>
      </w:r>
      <w:r w:rsidR="00EC1C19">
        <w:rPr>
          <w:rFonts w:eastAsia="DengXian" w:hint="eastAsia"/>
          <w:vertAlign w:val="superscript"/>
          <w:lang w:eastAsia="zh-CN"/>
        </w:rPr>
        <w:t>2</w:t>
      </w:r>
      <w:r w:rsidR="00EC1C19">
        <w:rPr>
          <w:rFonts w:eastAsia="DengXian" w:hint="eastAsia"/>
          <w:lang w:eastAsia="zh-CN"/>
        </w:rPr>
        <w:t>,</w:t>
      </w:r>
      <w:r w:rsidR="004C4E15">
        <w:rPr>
          <w:rFonts w:eastAsia="DengXian"/>
          <w:lang w:eastAsia="zh-CN"/>
        </w:rPr>
        <w:t xml:space="preserve"> and </w:t>
      </w:r>
      <w:r w:rsidR="004C4E15" w:rsidRPr="00EC1C19">
        <w:rPr>
          <w:rFonts w:eastAsia="DengXian" w:hint="eastAsia"/>
          <w:lang w:eastAsia="zh-CN"/>
        </w:rPr>
        <w:t>Tzu-</w:t>
      </w:r>
      <w:r w:rsidR="004C4E15">
        <w:rPr>
          <w:rFonts w:eastAsia="DengXian" w:hint="eastAsia"/>
          <w:lang w:eastAsia="zh-CN"/>
        </w:rPr>
        <w:t>K</w:t>
      </w:r>
      <w:r w:rsidR="004C4E15" w:rsidRPr="00EC1C19">
        <w:rPr>
          <w:rFonts w:eastAsia="DengXian" w:hint="eastAsia"/>
          <w:lang w:eastAsia="zh-CN"/>
        </w:rPr>
        <w:t>an</w:t>
      </w:r>
      <w:r w:rsidR="008E7489">
        <w:rPr>
          <w:rFonts w:eastAsia="DengXian"/>
          <w:lang w:eastAsia="zh-CN"/>
        </w:rPr>
        <w:t xml:space="preserve">, </w:t>
      </w:r>
      <w:r w:rsidR="008E7489" w:rsidRPr="00EC1C19">
        <w:rPr>
          <w:rFonts w:eastAsia="DengXian" w:hint="eastAsia"/>
          <w:lang w:eastAsia="zh-CN"/>
        </w:rPr>
        <w:t>Hsiao</w:t>
      </w:r>
      <w:r w:rsidR="004C4E15" w:rsidRPr="000D0FAD">
        <w:rPr>
          <w:rFonts w:hint="eastAsia"/>
          <w:vertAlign w:val="superscript"/>
        </w:rPr>
        <w:t>1</w:t>
      </w:r>
      <w:r w:rsidR="004C4E15">
        <w:rPr>
          <w:rFonts w:eastAsia="DengXian"/>
          <w:lang w:eastAsia="zh-CN"/>
        </w:rPr>
        <w:t>.</w:t>
      </w:r>
      <w:r w:rsidR="00EC1C19">
        <w:rPr>
          <w:rFonts w:eastAsia="DengXian"/>
          <w:lang w:eastAsia="zh-CN"/>
        </w:rPr>
        <w:br/>
      </w:r>
    </w:p>
    <w:p w14:paraId="1DD8B8BA" w14:textId="0728745B" w:rsidR="00C77156" w:rsidRPr="00AC4EAF" w:rsidRDefault="00224950" w:rsidP="001E4F9A">
      <w:pPr>
        <w:pStyle w:val="Affiliation"/>
        <w:rPr>
          <w:rFonts w:eastAsia="DengXian"/>
          <w:lang w:eastAsia="zh-CN"/>
        </w:rPr>
      </w:pPr>
      <w:r w:rsidRPr="000D0FAD">
        <w:rPr>
          <w:rFonts w:hint="eastAsia"/>
          <w:iCs/>
          <w:vertAlign w:val="superscript"/>
        </w:rPr>
        <w:t>1</w:t>
      </w:r>
      <w:r w:rsidR="00AC4EAF">
        <w:rPr>
          <w:rFonts w:eastAsia="DengXian" w:hint="eastAsia"/>
          <w:lang w:eastAsia="zh-CN"/>
        </w:rPr>
        <w:t>Department of Physics, N</w:t>
      </w:r>
      <w:r w:rsidR="00E36EC9" w:rsidRPr="000D0FAD">
        <w:t>ational Tsing Hua University</w:t>
      </w:r>
      <w:r w:rsidR="00EC1C19">
        <w:rPr>
          <w:rFonts w:eastAsia="DengXian"/>
          <w:lang w:eastAsia="zh-CN"/>
        </w:rPr>
        <w:br/>
      </w:r>
      <w:r w:rsidR="00EC1C19">
        <w:rPr>
          <w:rFonts w:eastAsia="DengXian" w:hint="eastAsia"/>
          <w:vertAlign w:val="superscript"/>
          <w:lang w:eastAsia="zh-CN"/>
        </w:rPr>
        <w:t>2</w:t>
      </w:r>
      <w:r w:rsidR="00AC4EAF">
        <w:rPr>
          <w:rFonts w:eastAsia="DengXian"/>
          <w:lang w:eastAsia="zh-CN"/>
        </w:rPr>
        <w:t>Institute</w:t>
      </w:r>
      <w:r w:rsidR="00AC4EAF">
        <w:rPr>
          <w:rFonts w:eastAsia="DengXian" w:hint="eastAsia"/>
          <w:lang w:eastAsia="zh-CN"/>
        </w:rPr>
        <w:t xml:space="preserve"> of Astronomy and Astrophysics,</w:t>
      </w:r>
      <w:r w:rsidR="00AC4EAF" w:rsidRPr="00EC1C19">
        <w:rPr>
          <w:rFonts w:eastAsia="DengXian" w:hint="eastAsia"/>
          <w:lang w:eastAsia="zh-CN"/>
        </w:rPr>
        <w:t xml:space="preserve"> </w:t>
      </w:r>
      <w:r w:rsidR="00EC1C19" w:rsidRPr="00EC1C19">
        <w:rPr>
          <w:rFonts w:eastAsia="DengXian" w:hint="eastAsia"/>
          <w:lang w:eastAsia="zh-CN"/>
        </w:rPr>
        <w:t>A</w:t>
      </w:r>
      <w:r w:rsidR="00AC4EAF">
        <w:rPr>
          <w:rFonts w:eastAsia="DengXian" w:hint="eastAsia"/>
          <w:lang w:eastAsia="zh-CN"/>
        </w:rPr>
        <w:t>cademia Sinica</w:t>
      </w:r>
    </w:p>
    <w:p w14:paraId="49373D7E" w14:textId="77777777" w:rsidR="00480AB4" w:rsidRPr="000D0FAD" w:rsidRDefault="00480AB4" w:rsidP="001E4F9A"/>
    <w:p w14:paraId="3CE33F3C" w14:textId="64949119" w:rsidR="00196367" w:rsidRPr="007E5651" w:rsidRDefault="008A4096" w:rsidP="001E4F9A">
      <w:r w:rsidRPr="007E5651">
        <w:t xml:space="preserve">Radio frequency (rf) reflectometry is essential for fast qubit readout. </w:t>
      </w:r>
      <w:r w:rsidR="00011370" w:rsidRPr="007E5651">
        <w:t>In our work, w</w:t>
      </w:r>
      <w:r w:rsidRPr="007E5651">
        <w:t xml:space="preserve">e utilize </w:t>
      </w:r>
      <w:r w:rsidR="00854A55" w:rsidRPr="007E5651">
        <w:t>high</w:t>
      </w:r>
      <w:r w:rsidRPr="007E5651">
        <w:t xml:space="preserve"> </w:t>
      </w:r>
      <w:r w:rsidR="00854A55" w:rsidRPr="007E5651">
        <w:t>kinetic inductance niobium titanium nitride (</w:t>
      </w:r>
      <w:proofErr w:type="spellStart"/>
      <w:r w:rsidR="00854A55" w:rsidRPr="007E5651">
        <w:t>NbTiN</w:t>
      </w:r>
      <w:proofErr w:type="spellEnd"/>
      <w:r w:rsidR="00854A55" w:rsidRPr="007E5651">
        <w:t>)</w:t>
      </w:r>
      <w:r w:rsidRPr="007E5651">
        <w:t xml:space="preserve"> as inductor</w:t>
      </w:r>
      <w:r w:rsidR="00011370" w:rsidRPr="007E5651">
        <w:t>s</w:t>
      </w:r>
      <w:r w:rsidRPr="007E5651">
        <w:t xml:space="preserve"> for the tank circuit in rf</w:t>
      </w:r>
      <w:r w:rsidR="00011370" w:rsidRPr="007E5651">
        <w:t xml:space="preserve"> reflectometry</w:t>
      </w:r>
      <w:r w:rsidR="00854A55" w:rsidRPr="007E5651">
        <w:t>.</w:t>
      </w:r>
      <w:r w:rsidR="00196367" w:rsidRPr="007E5651">
        <w:t xml:space="preserve"> </w:t>
      </w:r>
      <w:r w:rsidR="00011370" w:rsidRPr="007E5651">
        <w:t xml:space="preserve">We vary the design of the </w:t>
      </w:r>
      <w:proofErr w:type="spellStart"/>
      <w:r w:rsidR="00011370" w:rsidRPr="007E5651">
        <w:t>NbTiN</w:t>
      </w:r>
      <w:proofErr w:type="spellEnd"/>
      <w:r w:rsidR="00011370" w:rsidRPr="007E5651">
        <w:t xml:space="preserve"> inductors for different selected resonant frequencies. </w:t>
      </w:r>
      <w:r w:rsidR="00E87F64" w:rsidRPr="007E5651">
        <w:rPr>
          <w:rFonts w:eastAsia="DengXian"/>
          <w:lang w:eastAsia="zh-CN"/>
        </w:rPr>
        <w:t>T</w:t>
      </w:r>
      <w:r w:rsidR="007A78A2" w:rsidRPr="007E5651">
        <w:rPr>
          <w:rFonts w:eastAsia="DengXian"/>
          <w:lang w:eastAsia="zh-CN"/>
        </w:rPr>
        <w:t>wo</w:t>
      </w:r>
      <w:r w:rsidR="00E87F64" w:rsidRPr="007E5651">
        <w:rPr>
          <w:rFonts w:eastAsia="DengXian"/>
          <w:lang w:eastAsia="zh-CN"/>
        </w:rPr>
        <w:t xml:space="preserve"> inductors were wire bonded on a printed circuit board (PCB) and loaded in a dilution refrigerator. </w:t>
      </w:r>
      <w:r w:rsidR="00C475DE" w:rsidRPr="007E5651">
        <w:rPr>
          <w:rFonts w:eastAsia="DengXian"/>
          <w:lang w:eastAsia="zh-CN"/>
        </w:rPr>
        <w:t xml:space="preserve">Four-point probe measurements and rf spectrum analysis were performed simultaneously as the dilution refrigerator cooled down. </w:t>
      </w:r>
      <w:r w:rsidR="007A78A2" w:rsidRPr="007E5651">
        <w:rPr>
          <w:rFonts w:eastAsia="DengXian"/>
          <w:lang w:eastAsia="zh-CN"/>
        </w:rPr>
        <w:t xml:space="preserve">The critical temperature of the </w:t>
      </w:r>
      <w:proofErr w:type="spellStart"/>
      <w:r w:rsidR="007A78A2" w:rsidRPr="007E5651">
        <w:rPr>
          <w:rFonts w:eastAsia="DengXian"/>
          <w:lang w:eastAsia="zh-CN"/>
        </w:rPr>
        <w:t>NbTiN</w:t>
      </w:r>
      <w:proofErr w:type="spellEnd"/>
      <w:r w:rsidR="007A78A2" w:rsidRPr="007E5651">
        <w:rPr>
          <w:rFonts w:eastAsia="DengXian"/>
          <w:lang w:eastAsia="zh-CN"/>
        </w:rPr>
        <w:t xml:space="preserve"> inductor was measured to be 6.5 K, and a resonance peak was observed at about 376 MHz, with the sheet inductance and parasitic capacitance </w:t>
      </w:r>
      <w:r w:rsidR="00133683" w:rsidRPr="007E5651">
        <w:rPr>
          <w:rFonts w:eastAsia="DengXian"/>
          <w:lang w:eastAsia="zh-CN"/>
        </w:rPr>
        <w:t>estimated to be 76 pH and</w:t>
      </w:r>
      <w:r w:rsidR="007A78A2" w:rsidRPr="007E5651">
        <w:rPr>
          <w:rFonts w:eastAsia="DengXian"/>
          <w:lang w:eastAsia="zh-CN"/>
        </w:rPr>
        <w:t xml:space="preserve"> 0.5 pF</w:t>
      </w:r>
      <w:r w:rsidR="00133683" w:rsidRPr="007E5651">
        <w:rPr>
          <w:rFonts w:eastAsia="DengXian"/>
          <w:lang w:eastAsia="zh-CN"/>
        </w:rPr>
        <w:t xml:space="preserve"> respectively</w:t>
      </w:r>
      <w:r w:rsidR="007A78A2" w:rsidRPr="007E5651">
        <w:rPr>
          <w:rFonts w:eastAsia="DengXian"/>
          <w:lang w:eastAsia="zh-CN"/>
        </w:rPr>
        <w:t xml:space="preserve">. </w:t>
      </w:r>
      <w:r w:rsidR="00011370" w:rsidRPr="007E5651">
        <w:t xml:space="preserve">Future </w:t>
      </w:r>
      <w:r w:rsidR="007E5651" w:rsidRPr="007E5651">
        <w:rPr>
          <w:rFonts w:eastAsia="DengXian"/>
          <w:lang w:eastAsia="zh-CN"/>
        </w:rPr>
        <w:t>w</w:t>
      </w:r>
      <w:r w:rsidR="00011370" w:rsidRPr="007E5651">
        <w:t>orks include utilizing another high kinetic inductance material, titanium nitride (</w:t>
      </w:r>
      <w:proofErr w:type="spellStart"/>
      <w:r w:rsidR="00011370" w:rsidRPr="007E5651">
        <w:t>TiN</w:t>
      </w:r>
      <w:proofErr w:type="spellEnd"/>
      <w:r w:rsidR="00011370" w:rsidRPr="007E5651">
        <w:t xml:space="preserve">), as inductors, and </w:t>
      </w:r>
      <w:r w:rsidR="008115CE" w:rsidRPr="007E5651">
        <w:rPr>
          <w:rFonts w:eastAsia="DengXian"/>
          <w:lang w:eastAsia="zh-CN"/>
        </w:rPr>
        <w:t>perform</w:t>
      </w:r>
      <w:r w:rsidR="00011370" w:rsidRPr="007E5651">
        <w:t xml:space="preserve"> multiplex readout with the different inductance of the inductors.</w:t>
      </w:r>
    </w:p>
    <w:p w14:paraId="316C20A3" w14:textId="77777777" w:rsidR="007553E8" w:rsidRDefault="007553E8" w:rsidP="001E4F9A">
      <w:pPr>
        <w:rPr>
          <w:rFonts w:eastAsia="DengXian"/>
          <w:lang w:eastAsia="zh-CN"/>
        </w:rPr>
      </w:pPr>
    </w:p>
    <w:p w14:paraId="5EDBDA23" w14:textId="77777777" w:rsidR="00A527F9" w:rsidRDefault="00A527F9" w:rsidP="001E4F9A">
      <w:pPr>
        <w:rPr>
          <w:rFonts w:eastAsia="DengXian"/>
          <w:lang w:eastAsia="zh-CN"/>
        </w:rPr>
      </w:pPr>
    </w:p>
    <w:p w14:paraId="143ED3F2" w14:textId="77777777" w:rsidR="00A527F9" w:rsidRDefault="00A527F9" w:rsidP="001E4F9A">
      <w:pPr>
        <w:rPr>
          <w:rFonts w:eastAsia="DengXian"/>
          <w:lang w:eastAsia="zh-CN"/>
        </w:rPr>
      </w:pPr>
    </w:p>
    <w:p w14:paraId="7692DE03" w14:textId="77777777" w:rsidR="00A527F9" w:rsidRPr="00A527F9" w:rsidRDefault="00A527F9" w:rsidP="001E4F9A">
      <w:pPr>
        <w:rPr>
          <w:rFonts w:eastAsia="DengXian"/>
          <w:lang w:eastAsia="zh-CN"/>
        </w:rPr>
      </w:pPr>
    </w:p>
    <w:p w14:paraId="2E26A6E3" w14:textId="1C5BD622" w:rsidR="007B47C9" w:rsidRPr="000D0FAD" w:rsidRDefault="004F6FDD" w:rsidP="007B47C9">
      <w:pPr>
        <w:keepNext/>
        <w:jc w:val="center"/>
      </w:pPr>
      <w:r w:rsidRPr="000D0FAD">
        <w:rPr>
          <w:noProof/>
        </w:rPr>
        <w:drawing>
          <wp:inline distT="0" distB="0" distL="0" distR="0" wp14:anchorId="1BFE99E0" wp14:editId="41019404">
            <wp:extent cx="2484000" cy="2493005"/>
            <wp:effectExtent l="0" t="0" r="0" b="3175"/>
            <wp:docPr id="788337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37709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l="26898" t="14828" r="30690" b="9498"/>
                    <a:stretch/>
                  </pic:blipFill>
                  <pic:spPr bwMode="auto">
                    <a:xfrm>
                      <a:off x="0" y="0"/>
                      <a:ext cx="2484000" cy="249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00F4">
        <w:rPr>
          <w:rFonts w:eastAsia="DengXian" w:hint="eastAsia"/>
          <w:lang w:eastAsia="zh-CN"/>
        </w:rPr>
        <w:t xml:space="preserve">   </w:t>
      </w:r>
      <w:r w:rsidR="008115CE" w:rsidRPr="000D0FAD">
        <w:rPr>
          <w:noProof/>
        </w:rPr>
        <w:drawing>
          <wp:inline distT="0" distB="0" distL="0" distR="0" wp14:anchorId="37F7DCCF" wp14:editId="3ADEC259">
            <wp:extent cx="2880000" cy="2165229"/>
            <wp:effectExtent l="0" t="0" r="0" b="6985"/>
            <wp:docPr id="1353503929" name="Picture 1" descr="A graph of a frequ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03929" name="Picture 1" descr="A graph of a frequenc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943" w:rsidRPr="000D0FAD">
        <w:t xml:space="preserve"> </w:t>
      </w:r>
    </w:p>
    <w:p w14:paraId="40629C4E" w14:textId="74BD15B9" w:rsidR="000D0FAD" w:rsidRPr="008115CE" w:rsidRDefault="007B47C9" w:rsidP="008115CE">
      <w:pPr>
        <w:pStyle w:val="Caption"/>
        <w:ind w:firstLineChars="600" w:firstLine="1200"/>
        <w:jc w:val="left"/>
        <w:rPr>
          <w:rFonts w:eastAsia="DengXian"/>
          <w:lang w:eastAsia="zh-CN"/>
        </w:rPr>
      </w:pPr>
      <w:r w:rsidRPr="000D0FAD">
        <w:t xml:space="preserve">Figure </w:t>
      </w:r>
      <w:r w:rsidR="0069213C" w:rsidRPr="000D0FAD">
        <w:fldChar w:fldCharType="begin"/>
      </w:r>
      <w:r w:rsidR="0069213C" w:rsidRPr="000D0FAD">
        <w:instrText xml:space="preserve"> SEQ Figure \* ARABIC </w:instrText>
      </w:r>
      <w:r w:rsidR="0069213C" w:rsidRPr="000D0FAD">
        <w:fldChar w:fldCharType="separate"/>
      </w:r>
      <w:r w:rsidR="00104546">
        <w:rPr>
          <w:noProof/>
        </w:rPr>
        <w:t>1</w:t>
      </w:r>
      <w:r w:rsidR="0069213C" w:rsidRPr="000D0FAD">
        <w:fldChar w:fldCharType="end"/>
      </w:r>
      <w:r w:rsidRPr="000D0FAD">
        <w:rPr>
          <w:rFonts w:hint="eastAsia"/>
        </w:rPr>
        <w:t xml:space="preserve">, </w:t>
      </w:r>
      <w:r w:rsidR="004F6FDD" w:rsidRPr="000D0FAD">
        <w:rPr>
          <w:rFonts w:eastAsia="DengXian"/>
          <w:lang w:eastAsia="zh-CN"/>
        </w:rPr>
        <w:t>Inductor desig</w:t>
      </w:r>
      <w:r w:rsidR="008115CE">
        <w:rPr>
          <w:rFonts w:eastAsia="DengXian" w:hint="eastAsia"/>
          <w:lang w:eastAsia="zh-CN"/>
        </w:rPr>
        <w:t>n.</w:t>
      </w:r>
      <w:r w:rsidR="008115CE">
        <w:rPr>
          <w:rFonts w:eastAsia="DengXian"/>
          <w:lang w:eastAsia="zh-CN"/>
        </w:rPr>
        <w:tab/>
      </w:r>
      <w:r w:rsidR="008115CE">
        <w:rPr>
          <w:rFonts w:eastAsia="DengXian"/>
          <w:lang w:eastAsia="zh-CN"/>
        </w:rPr>
        <w:tab/>
      </w:r>
      <w:r w:rsidR="008115CE">
        <w:rPr>
          <w:rFonts w:eastAsia="DengXian" w:hint="eastAsia"/>
          <w:lang w:eastAsia="zh-CN"/>
        </w:rPr>
        <w:t xml:space="preserve">          </w:t>
      </w:r>
      <w:r w:rsidR="000D0FAD" w:rsidRPr="000D0FAD">
        <w:rPr>
          <w:rFonts w:eastAsia="DengXian"/>
          <w:szCs w:val="20"/>
          <w:lang w:eastAsia="zh-CN"/>
        </w:rPr>
        <w:t xml:space="preserve">Figure </w:t>
      </w:r>
      <w:r w:rsidR="00B80766">
        <w:rPr>
          <w:rFonts w:eastAsia="DengXian" w:hint="eastAsia"/>
          <w:szCs w:val="20"/>
          <w:lang w:eastAsia="zh-CN"/>
        </w:rPr>
        <w:t>2</w:t>
      </w:r>
      <w:r w:rsidR="000D0FAD" w:rsidRPr="000D0FAD">
        <w:rPr>
          <w:rFonts w:eastAsia="DengXian"/>
          <w:szCs w:val="20"/>
          <w:lang w:eastAsia="zh-CN"/>
        </w:rPr>
        <w:t xml:space="preserve">, </w:t>
      </w:r>
      <w:r w:rsidR="000D0FAD" w:rsidRPr="000D0FAD">
        <w:rPr>
          <w:rFonts w:eastAsia="DengXian" w:hint="eastAsia"/>
          <w:szCs w:val="20"/>
          <w:lang w:eastAsia="zh-CN"/>
        </w:rPr>
        <w:t xml:space="preserve">Resonance peak of </w:t>
      </w:r>
      <w:r w:rsidR="000D0FAD">
        <w:rPr>
          <w:rFonts w:eastAsia="DengXian" w:hint="eastAsia"/>
          <w:szCs w:val="20"/>
          <w:lang w:eastAsia="zh-CN"/>
        </w:rPr>
        <w:t>tank circuit</w:t>
      </w:r>
    </w:p>
    <w:sectPr w:rsidR="000D0FAD" w:rsidRPr="00811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3D28A" w14:textId="77777777" w:rsidR="00372F69" w:rsidRPr="000D0FAD" w:rsidRDefault="00372F69" w:rsidP="00CE15CF">
      <w:pPr>
        <w:spacing w:after="0" w:line="240" w:lineRule="auto"/>
      </w:pPr>
      <w:r w:rsidRPr="000D0FAD">
        <w:separator/>
      </w:r>
    </w:p>
  </w:endnote>
  <w:endnote w:type="continuationSeparator" w:id="0">
    <w:p w14:paraId="1DB5FC65" w14:textId="77777777" w:rsidR="00372F69" w:rsidRPr="000D0FAD" w:rsidRDefault="00372F69" w:rsidP="00CE15CF">
      <w:pPr>
        <w:spacing w:after="0" w:line="240" w:lineRule="auto"/>
      </w:pPr>
      <w:r w:rsidRPr="000D0F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20EF2" w14:textId="77777777" w:rsidR="00372F69" w:rsidRPr="000D0FAD" w:rsidRDefault="00372F69" w:rsidP="00CE15CF">
      <w:pPr>
        <w:spacing w:after="0" w:line="240" w:lineRule="auto"/>
      </w:pPr>
      <w:r w:rsidRPr="000D0FAD">
        <w:separator/>
      </w:r>
    </w:p>
  </w:footnote>
  <w:footnote w:type="continuationSeparator" w:id="0">
    <w:p w14:paraId="75A265E4" w14:textId="77777777" w:rsidR="00372F69" w:rsidRPr="000D0FAD" w:rsidRDefault="00372F69" w:rsidP="00CE15CF">
      <w:pPr>
        <w:spacing w:after="0" w:line="240" w:lineRule="auto"/>
      </w:pPr>
      <w:r w:rsidRPr="000D0F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11370"/>
    <w:rsid w:val="00062E4E"/>
    <w:rsid w:val="000A506D"/>
    <w:rsid w:val="000D0FAD"/>
    <w:rsid w:val="00104546"/>
    <w:rsid w:val="00133683"/>
    <w:rsid w:val="00192CFE"/>
    <w:rsid w:val="00196367"/>
    <w:rsid w:val="001E4F9A"/>
    <w:rsid w:val="00224950"/>
    <w:rsid w:val="00281943"/>
    <w:rsid w:val="00310969"/>
    <w:rsid w:val="00317BCF"/>
    <w:rsid w:val="00321F2F"/>
    <w:rsid w:val="00350DA8"/>
    <w:rsid w:val="00354FC6"/>
    <w:rsid w:val="00372F69"/>
    <w:rsid w:val="003B5A75"/>
    <w:rsid w:val="003C1A3D"/>
    <w:rsid w:val="00480AB4"/>
    <w:rsid w:val="004B271A"/>
    <w:rsid w:val="004C18D2"/>
    <w:rsid w:val="004C4E15"/>
    <w:rsid w:val="004F6FDD"/>
    <w:rsid w:val="00514895"/>
    <w:rsid w:val="0053674A"/>
    <w:rsid w:val="00573209"/>
    <w:rsid w:val="00605689"/>
    <w:rsid w:val="0069213C"/>
    <w:rsid w:val="00694951"/>
    <w:rsid w:val="00751E64"/>
    <w:rsid w:val="007553E8"/>
    <w:rsid w:val="007A78A2"/>
    <w:rsid w:val="007B47C9"/>
    <w:rsid w:val="007B7944"/>
    <w:rsid w:val="007E5651"/>
    <w:rsid w:val="008115CE"/>
    <w:rsid w:val="00844AED"/>
    <w:rsid w:val="00854A55"/>
    <w:rsid w:val="00896B07"/>
    <w:rsid w:val="008A4096"/>
    <w:rsid w:val="008E7489"/>
    <w:rsid w:val="00915F71"/>
    <w:rsid w:val="009640EE"/>
    <w:rsid w:val="00A00D9F"/>
    <w:rsid w:val="00A322E1"/>
    <w:rsid w:val="00A50716"/>
    <w:rsid w:val="00A527F9"/>
    <w:rsid w:val="00A8352C"/>
    <w:rsid w:val="00AA673C"/>
    <w:rsid w:val="00AB00F4"/>
    <w:rsid w:val="00AC4EAF"/>
    <w:rsid w:val="00AE28E4"/>
    <w:rsid w:val="00AE30CA"/>
    <w:rsid w:val="00AE43D2"/>
    <w:rsid w:val="00B24FDF"/>
    <w:rsid w:val="00B80766"/>
    <w:rsid w:val="00BA4C5D"/>
    <w:rsid w:val="00C06AC6"/>
    <w:rsid w:val="00C475DE"/>
    <w:rsid w:val="00C77156"/>
    <w:rsid w:val="00CE11C9"/>
    <w:rsid w:val="00CE15CF"/>
    <w:rsid w:val="00E36EC9"/>
    <w:rsid w:val="00E631B6"/>
    <w:rsid w:val="00E87F64"/>
    <w:rsid w:val="00EA0133"/>
    <w:rsid w:val="00EB5C65"/>
    <w:rsid w:val="00EC1C19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鍾謹再</cp:lastModifiedBy>
  <cp:revision>31</cp:revision>
  <cp:lastPrinted>2024-09-04T04:19:00Z</cp:lastPrinted>
  <dcterms:created xsi:type="dcterms:W3CDTF">2024-08-30T07:47:00Z</dcterms:created>
  <dcterms:modified xsi:type="dcterms:W3CDTF">2024-09-04T04:19:00Z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