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EE2AA0A" w:rsidR="00A8352C" w:rsidRPr="00C77156" w:rsidRDefault="00B10B75" w:rsidP="001E4F9A">
      <w:pPr>
        <w:pStyle w:val="Title"/>
      </w:pPr>
      <w:r>
        <w:t xml:space="preserve">Development of piezoelectric actuators for strain control of donor spin </w:t>
      </w:r>
      <w:proofErr w:type="spellStart"/>
      <w:r>
        <w:t>qu</w:t>
      </w:r>
      <w:r w:rsidR="00314952">
        <w:t>d</w:t>
      </w:r>
      <w:r>
        <w:t>its</w:t>
      </w:r>
      <w:proofErr w:type="spellEnd"/>
    </w:p>
    <w:p w14:paraId="4393ABC7" w14:textId="25C83F99" w:rsidR="00C77156" w:rsidRPr="00C77156" w:rsidRDefault="00B10B75" w:rsidP="001E4F9A">
      <w:pPr>
        <w:pStyle w:val="Authorlist"/>
      </w:pPr>
      <w:r w:rsidRPr="00B10B75">
        <w:t>L</w:t>
      </w:r>
      <w:r>
        <w:t>aura</w:t>
      </w:r>
      <w:r w:rsidRPr="00B10B75">
        <w:t xml:space="preserve"> A. O’Neill</w:t>
      </w:r>
      <w:r>
        <w:rPr>
          <w:vertAlign w:val="superscript"/>
        </w:rPr>
        <w:t>1</w:t>
      </w:r>
      <w:r w:rsidRPr="00B10B75">
        <w:t>, D</w:t>
      </w:r>
      <w:r>
        <w:t>aniel</w:t>
      </w:r>
      <w:r w:rsidRPr="00B10B75">
        <w:t xml:space="preserve"> Schwienbacher</w:t>
      </w:r>
      <w:r>
        <w:rPr>
          <w:vertAlign w:val="superscript"/>
        </w:rPr>
        <w:t>1</w:t>
      </w:r>
      <w:r w:rsidRPr="00B10B75">
        <w:t>, D</w:t>
      </w:r>
      <w:r>
        <w:t>anielle</w:t>
      </w:r>
      <w:r w:rsidRPr="00B10B75">
        <w:t xml:space="preserve"> Holmes</w:t>
      </w:r>
      <w:r>
        <w:rPr>
          <w:vertAlign w:val="superscript"/>
        </w:rPr>
        <w:t>1</w:t>
      </w:r>
      <w:r w:rsidRPr="00B10B75">
        <w:t>, B</w:t>
      </w:r>
      <w:r>
        <w:t>enjamin</w:t>
      </w:r>
      <w:r w:rsidRPr="00B10B75">
        <w:t xml:space="preserve"> Joecker</w:t>
      </w:r>
      <w:r>
        <w:rPr>
          <w:vertAlign w:val="superscript"/>
        </w:rPr>
        <w:t>1</w:t>
      </w:r>
      <w:r w:rsidRPr="00B10B75">
        <w:t>, A</w:t>
      </w:r>
      <w:r>
        <w:t>ndrew</w:t>
      </w:r>
      <w:r w:rsidRPr="00B10B75">
        <w:t xml:space="preserve"> D. Baczewski</w:t>
      </w:r>
      <w:r>
        <w:rPr>
          <w:vertAlign w:val="superscript"/>
        </w:rPr>
        <w:t>2</w:t>
      </w:r>
      <w:r w:rsidRPr="00B10B75">
        <w:t xml:space="preserve"> and A</w:t>
      </w:r>
      <w:r>
        <w:t>ndrea</w:t>
      </w:r>
      <w:r w:rsidRPr="00B10B75">
        <w:t xml:space="preserve"> Morello</w:t>
      </w:r>
      <w:r>
        <w:rPr>
          <w:vertAlign w:val="superscript"/>
        </w:rPr>
        <w:t>1</w:t>
      </w:r>
    </w:p>
    <w:p w14:paraId="1DD8B8BA" w14:textId="657A35BA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B10B75" w:rsidRPr="00B10B75">
        <w:rPr>
          <w:iCs/>
        </w:rPr>
        <w:t>CQC</w:t>
      </w:r>
      <w:r w:rsidR="00B10B75" w:rsidRPr="00B10B75">
        <w:t>2</w:t>
      </w:r>
      <w:r w:rsidR="00B10B75" w:rsidRPr="00B10B75">
        <w:rPr>
          <w:iCs/>
        </w:rPr>
        <w:t>T, School of Electrical Engineering &amp; Telecommunications, UNSW Australia, Sydney NSW 2052 Australia</w:t>
      </w:r>
    </w:p>
    <w:p w14:paraId="081FFB1B" w14:textId="5F1ABB15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B10B75" w:rsidRPr="00B10B75">
        <w:rPr>
          <w:iCs/>
        </w:rPr>
        <w:t>Center for Computing Research, Sandia National Laboratories, Albuquerque, New Mexico 87123, US</w:t>
      </w:r>
      <w:r w:rsidR="00B10B75">
        <w:rPr>
          <w:iCs/>
        </w:rPr>
        <w:t>A</w:t>
      </w:r>
    </w:p>
    <w:p w14:paraId="49373D7E" w14:textId="77777777" w:rsidR="00480AB4" w:rsidRDefault="00480AB4" w:rsidP="001E4F9A"/>
    <w:p w14:paraId="11526971" w14:textId="7958F86D" w:rsidR="00D8313A" w:rsidRDefault="00F37628" w:rsidP="001E4F9A">
      <w:r w:rsidRPr="00F37628">
        <w:t xml:space="preserve">Localised control of coherent qubits is crucial for scalable quantum computing. High spin nuclear donor </w:t>
      </w:r>
      <w:proofErr w:type="spellStart"/>
      <w:r w:rsidRPr="00F37628">
        <w:t>qu</w:t>
      </w:r>
      <w:r w:rsidR="00314952">
        <w:t>d</w:t>
      </w:r>
      <w:r w:rsidRPr="00F37628">
        <w:t>its</w:t>
      </w:r>
      <w:proofErr w:type="spellEnd"/>
      <w:r w:rsidRPr="00F37628">
        <w:t xml:space="preserve">, such as spin-7/2 </w:t>
      </w:r>
      <w:r w:rsidRPr="00F37628">
        <w:rPr>
          <w:vertAlign w:val="superscript"/>
        </w:rPr>
        <w:t>123</w:t>
      </w:r>
      <w:r w:rsidRPr="00F37628">
        <w:t>Sb, are highly</w:t>
      </w:r>
      <w:r>
        <w:t xml:space="preserve"> </w:t>
      </w:r>
      <w:r w:rsidRPr="00F37628">
        <w:t>coherent and possess a quadrupole moment that enables localised electric and acoustic control [1]. We designed a silicon-based quantum device</w:t>
      </w:r>
      <w:r>
        <w:t xml:space="preserve"> </w:t>
      </w:r>
      <w:r w:rsidRPr="00F37628">
        <w:t xml:space="preserve">capable of achieving nuclear acoustic resonance (NAR) of an </w:t>
      </w:r>
      <w:r w:rsidRPr="004779C3">
        <w:rPr>
          <w:vertAlign w:val="superscript"/>
        </w:rPr>
        <w:t>123</w:t>
      </w:r>
      <w:r w:rsidRPr="00F37628">
        <w:t>Sb donor using oscillating strain induced by a piezoelectric actuator [2]. Fabrication</w:t>
      </w:r>
      <w:r>
        <w:t xml:space="preserve"> </w:t>
      </w:r>
      <w:r w:rsidRPr="00F37628">
        <w:t xml:space="preserve">of the nanoscale piezoelectric </w:t>
      </w:r>
      <w:proofErr w:type="spellStart"/>
      <w:r w:rsidRPr="00F37628">
        <w:t>AlN</w:t>
      </w:r>
      <w:proofErr w:type="spellEnd"/>
      <w:r w:rsidRPr="00F37628">
        <w:t xml:space="preserve"> strip (60-80 nm wide, 650 nm long and 50-100 nm thick) on our silicon-based quantum device has proven to be</w:t>
      </w:r>
      <w:r>
        <w:t xml:space="preserve"> </w:t>
      </w:r>
      <w:r w:rsidRPr="00F37628">
        <w:t xml:space="preserve">challenging, since traditional dry etching techniques require etch stops, such as </w:t>
      </w:r>
      <w:proofErr w:type="spellStart"/>
      <w:r w:rsidRPr="00F37628">
        <w:t>HfOx</w:t>
      </w:r>
      <w:proofErr w:type="spellEnd"/>
      <w:r w:rsidRPr="00F37628">
        <w:t>, that are known to introduce charge</w:t>
      </w:r>
      <w:r>
        <w:t xml:space="preserve"> </w:t>
      </w:r>
      <w:r w:rsidRPr="00F37628">
        <w:t>noise. Hence, we propose</w:t>
      </w:r>
      <w:r>
        <w:t xml:space="preserve"> </w:t>
      </w:r>
      <w:r w:rsidRPr="00F37628">
        <w:t xml:space="preserve">alternate fabrication process flows to dry etching </w:t>
      </w:r>
      <w:proofErr w:type="spellStart"/>
      <w:r w:rsidRPr="00F37628">
        <w:t>AlN</w:t>
      </w:r>
      <w:proofErr w:type="spellEnd"/>
      <w:r w:rsidRPr="00F37628">
        <w:t xml:space="preserve"> and present</w:t>
      </w:r>
      <w:r>
        <w:t xml:space="preserve"> </w:t>
      </w:r>
      <w:r w:rsidRPr="00F37628">
        <w:t xml:space="preserve">first results on 500 nm thick highly c-axis oriented </w:t>
      </w:r>
      <w:proofErr w:type="spellStart"/>
      <w:r w:rsidRPr="00F37628">
        <w:t>AlN</w:t>
      </w:r>
      <w:proofErr w:type="spellEnd"/>
      <w:r w:rsidRPr="00F37628">
        <w:t xml:space="preserve"> samples supplied by</w:t>
      </w:r>
      <w:r>
        <w:t xml:space="preserve"> </w:t>
      </w:r>
      <w:r w:rsidRPr="00F37628">
        <w:t>Argonne National Laboratories.</w:t>
      </w:r>
    </w:p>
    <w:p w14:paraId="2E26A6E3" w14:textId="0BE28F6E" w:rsidR="007B47C9" w:rsidRDefault="00D8313A" w:rsidP="00D8313A">
      <w:pPr>
        <w:jc w:val="center"/>
      </w:pPr>
      <w:r w:rsidRPr="00D8313A">
        <w:rPr>
          <w:noProof/>
        </w:rPr>
        <w:drawing>
          <wp:inline distT="0" distB="0" distL="0" distR="0" wp14:anchorId="596AC707" wp14:editId="238D3264">
            <wp:extent cx="2935224" cy="3650984"/>
            <wp:effectExtent l="0" t="0" r="1270" b="0"/>
            <wp:docPr id="414116305" name="Picture 2" descr="A computer graphics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16305" name="Picture 2" descr="A computer graphics of a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24" cy="365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5F72" w14:textId="65643511" w:rsidR="00A50716" w:rsidRPr="00751E64" w:rsidRDefault="007B47C9" w:rsidP="00751E64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="002870A4">
        <w:rPr>
          <w:noProof/>
        </w:rPr>
        <w:t>1</w:t>
      </w:r>
      <w:r w:rsidR="0069213C">
        <w:fldChar w:fldCharType="end"/>
      </w:r>
      <w:r w:rsidR="00D8313A">
        <w:t>:</w:t>
      </w:r>
      <w:r w:rsidRPr="00751E64">
        <w:rPr>
          <w:rFonts w:hint="eastAsia"/>
        </w:rPr>
        <w:t xml:space="preserve"> </w:t>
      </w:r>
      <w:r w:rsidR="00D8313A" w:rsidRPr="00D8313A">
        <w:t xml:space="preserve">(a) COMSOL simulated NAR device with a 60 nm wide, 100 nm thick </w:t>
      </w:r>
      <w:proofErr w:type="spellStart"/>
      <w:r w:rsidR="00D8313A" w:rsidRPr="00D8313A">
        <w:t>AlN</w:t>
      </w:r>
      <w:proofErr w:type="spellEnd"/>
      <w:r w:rsidR="00D8313A" w:rsidRPr="00D8313A">
        <w:t xml:space="preserve"> strip electrically</w:t>
      </w:r>
      <w:r w:rsidR="00D8313A" w:rsidRPr="00D8313A">
        <w:br/>
        <w:t>connected to the barrier gates (LB and RB) and donor gates (LD and RD).</w:t>
      </w:r>
      <w:r w:rsidR="00D8313A" w:rsidRPr="00D8313A">
        <w:br/>
        <w:t xml:space="preserve">(b) Diagram of strain-induced atomic bond distortion for a </w:t>
      </w:r>
      <w:r w:rsidR="00D8313A" w:rsidRPr="00D8313A">
        <w:rPr>
          <w:vertAlign w:val="superscript"/>
        </w:rPr>
        <w:t>123</w:t>
      </w:r>
      <w:r w:rsidR="00D8313A" w:rsidRPr="00D8313A">
        <w:t>Sb donor (</w:t>
      </w:r>
      <w:r w:rsidR="008F5DE3">
        <w:t>black</w:t>
      </w:r>
      <w:r w:rsidR="00D8313A" w:rsidRPr="00D8313A">
        <w:t>) in silicon</w:t>
      </w:r>
      <w:r w:rsidR="00356AD5">
        <w:t xml:space="preserve"> </w:t>
      </w:r>
      <w:r w:rsidR="00D8313A" w:rsidRPr="00D8313A">
        <w:t>(gr</w:t>
      </w:r>
      <w:r w:rsidR="00356AD5">
        <w:t>e</w:t>
      </w:r>
      <w:r w:rsidR="00D8313A" w:rsidRPr="00D8313A">
        <w:t>y),</w:t>
      </w:r>
      <w:r w:rsidR="00D8313A" w:rsidRPr="00D8313A">
        <w:br/>
        <w:t>which creates an electric field gradient (EFG) modulation</w:t>
      </w:r>
      <w:r w:rsidR="00D8313A">
        <w:rPr>
          <w:rFonts w:ascii="Cambria Math" w:hAnsi="Cambria Math" w:cs="Cambria Math"/>
        </w:rPr>
        <w:t xml:space="preserve"> </w:t>
      </w:r>
      <m:oMath>
        <m:r>
          <w:rPr>
            <w:rFonts w:ascii="Cambria Math" w:hAnsi="Cambria Math" w:cs="Cambria Math"/>
          </w:rPr>
          <m:t>δ</m:t>
        </m:r>
        <m:r>
          <m:rPr>
            <m:scr m:val="script"/>
          </m:rPr>
          <w:rPr>
            <w:rFonts w:ascii="Cambria Math" w:hAnsi="Cambria Math" w:cs="Cambria Math"/>
          </w:rPr>
          <m:t>V</m:t>
        </m:r>
      </m:oMath>
      <w:r w:rsidR="00D8313A" w:rsidRPr="00D8313A">
        <w:t xml:space="preserve"> that interacts with the </w:t>
      </w:r>
      <w:r w:rsidR="00D8313A" w:rsidRPr="00D8313A">
        <w:rPr>
          <w:vertAlign w:val="superscript"/>
        </w:rPr>
        <w:t>123</w:t>
      </w:r>
      <w:r w:rsidR="00D8313A" w:rsidRPr="00D8313A">
        <w:t>Sb</w:t>
      </w:r>
      <w:r w:rsidR="00D8313A" w:rsidRPr="00D8313A">
        <w:br/>
        <w:t>nucleus’ electric quadrupole moment and enables NAR</w:t>
      </w:r>
      <w:r w:rsidR="00D8313A">
        <w:t>.</w:t>
      </w:r>
    </w:p>
    <w:p w14:paraId="47B56DBA" w14:textId="5A82FE6A" w:rsidR="00224950" w:rsidRPr="00C77156" w:rsidRDefault="00A22C20" w:rsidP="000C06B9">
      <w:pPr>
        <w:pStyle w:val="Reference"/>
      </w:pPr>
      <w:r>
        <w:t>[</w:t>
      </w:r>
      <w:r w:rsidRPr="00A22C20">
        <w:t>1] Asaad et al.,</w:t>
      </w:r>
      <w:r>
        <w:t xml:space="preserve"> </w:t>
      </w:r>
      <w:r w:rsidRPr="00A22C20">
        <w:t>Nature 579, 205–209 (2020)</w:t>
      </w:r>
      <w:r w:rsidRPr="00A22C20">
        <w:br/>
        <w:t>[2] O’Neill et al.,</w:t>
      </w:r>
      <w:r>
        <w:t xml:space="preserve"> </w:t>
      </w:r>
      <w:r w:rsidRPr="00A22C20">
        <w:t>Appl. Phys. Lett.</w:t>
      </w:r>
      <w:r>
        <w:t xml:space="preserve"> </w:t>
      </w:r>
      <w:r w:rsidRPr="00A22C20">
        <w:t>119, 174001</w:t>
      </w:r>
      <w:r>
        <w:t xml:space="preserve"> </w:t>
      </w:r>
      <w:r w:rsidRPr="00A22C20">
        <w:t>(202</w:t>
      </w:r>
      <w:r>
        <w:t>1)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46281" w14:textId="77777777" w:rsidR="001D5EDB" w:rsidRDefault="001D5EDB" w:rsidP="00CE15CF">
      <w:pPr>
        <w:spacing w:after="0" w:line="240" w:lineRule="auto"/>
      </w:pPr>
      <w:r>
        <w:separator/>
      </w:r>
    </w:p>
  </w:endnote>
  <w:endnote w:type="continuationSeparator" w:id="0">
    <w:p w14:paraId="6CFBBDAA" w14:textId="77777777" w:rsidR="001D5EDB" w:rsidRDefault="001D5EDB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2343" w14:textId="77777777" w:rsidR="001D5EDB" w:rsidRDefault="001D5EDB" w:rsidP="00CE15CF">
      <w:pPr>
        <w:spacing w:after="0" w:line="240" w:lineRule="auto"/>
      </w:pPr>
      <w:r>
        <w:separator/>
      </w:r>
    </w:p>
  </w:footnote>
  <w:footnote w:type="continuationSeparator" w:id="0">
    <w:p w14:paraId="3FB9BBD0" w14:textId="77777777" w:rsidR="001D5EDB" w:rsidRDefault="001D5EDB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C06B9"/>
    <w:rsid w:val="00192CFE"/>
    <w:rsid w:val="00196367"/>
    <w:rsid w:val="001D5EDB"/>
    <w:rsid w:val="001E4F9A"/>
    <w:rsid w:val="00224950"/>
    <w:rsid w:val="002870A4"/>
    <w:rsid w:val="00310969"/>
    <w:rsid w:val="00314952"/>
    <w:rsid w:val="00354FC6"/>
    <w:rsid w:val="00356AD5"/>
    <w:rsid w:val="003B5A75"/>
    <w:rsid w:val="004779C3"/>
    <w:rsid w:val="00480AB4"/>
    <w:rsid w:val="004C18D2"/>
    <w:rsid w:val="00514895"/>
    <w:rsid w:val="00573209"/>
    <w:rsid w:val="00657033"/>
    <w:rsid w:val="0069213C"/>
    <w:rsid w:val="00694951"/>
    <w:rsid w:val="00751E64"/>
    <w:rsid w:val="007553E8"/>
    <w:rsid w:val="007B47C9"/>
    <w:rsid w:val="008345C4"/>
    <w:rsid w:val="008F5DE3"/>
    <w:rsid w:val="009B62C2"/>
    <w:rsid w:val="00A00D9F"/>
    <w:rsid w:val="00A22C20"/>
    <w:rsid w:val="00A322E1"/>
    <w:rsid w:val="00A50716"/>
    <w:rsid w:val="00A8352C"/>
    <w:rsid w:val="00AE30CA"/>
    <w:rsid w:val="00AE43D2"/>
    <w:rsid w:val="00B10B75"/>
    <w:rsid w:val="00B24FDF"/>
    <w:rsid w:val="00BA4C5D"/>
    <w:rsid w:val="00C06AC6"/>
    <w:rsid w:val="00C232E5"/>
    <w:rsid w:val="00C40B36"/>
    <w:rsid w:val="00C77156"/>
    <w:rsid w:val="00CE11C9"/>
    <w:rsid w:val="00CE15CF"/>
    <w:rsid w:val="00D80D31"/>
    <w:rsid w:val="00D8313A"/>
    <w:rsid w:val="00DC3960"/>
    <w:rsid w:val="00E7095C"/>
    <w:rsid w:val="00EA0133"/>
    <w:rsid w:val="00EE472A"/>
    <w:rsid w:val="00F30FBB"/>
    <w:rsid w:val="00F37628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8313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31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1571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Laura</cp:lastModifiedBy>
  <cp:revision>5</cp:revision>
  <cp:lastPrinted>2024-09-11T05:38:00Z</cp:lastPrinted>
  <dcterms:created xsi:type="dcterms:W3CDTF">2024-09-11T05:37:00Z</dcterms:created>
  <dcterms:modified xsi:type="dcterms:W3CDTF">2024-09-11T05:45:00Z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