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0B8E8" w14:textId="763C1B71" w:rsidR="004D7D68" w:rsidRPr="005B24EF" w:rsidRDefault="004D7D68" w:rsidP="007A48A4">
      <w:pPr>
        <w:pStyle w:val="Authorlist"/>
        <w:rPr>
          <w:rFonts w:eastAsiaTheme="majorEastAsia"/>
          <w:spacing w:val="-10"/>
          <w:kern w:val="28"/>
          <w:sz w:val="40"/>
          <w:szCs w:val="40"/>
        </w:rPr>
      </w:pPr>
      <w:r w:rsidRPr="005B24EF">
        <w:rPr>
          <w:rFonts w:eastAsiaTheme="majorEastAsia"/>
          <w:spacing w:val="-10"/>
          <w:kern w:val="28"/>
          <w:sz w:val="40"/>
          <w:szCs w:val="40"/>
        </w:rPr>
        <w:t>Integrating high quality factor 3D microwave resonators with nanodevices for global qubit control</w:t>
      </w:r>
    </w:p>
    <w:p w14:paraId="58EFFFC0" w14:textId="77777777" w:rsidR="007A48A4" w:rsidRPr="007A48A4" w:rsidRDefault="007A48A4" w:rsidP="007A48A4">
      <w:pPr>
        <w:pStyle w:val="Affiliation"/>
      </w:pPr>
    </w:p>
    <w:p w14:paraId="161846E3" w14:textId="5B3A0A8D" w:rsidR="007A48A4" w:rsidRPr="001B2276" w:rsidRDefault="007A48A4" w:rsidP="007A48A4">
      <w:pPr>
        <w:pStyle w:val="Affiliation"/>
        <w:rPr>
          <w:i w:val="0"/>
          <w:lang w:val="it-IT"/>
        </w:rPr>
      </w:pPr>
      <w:r w:rsidRPr="007A48A4">
        <w:rPr>
          <w:i w:val="0"/>
        </w:rPr>
        <w:t xml:space="preserve"> </w:t>
      </w:r>
      <w:r w:rsidRPr="001B2276">
        <w:rPr>
          <w:i w:val="0"/>
          <w:lang w:val="it-IT"/>
        </w:rPr>
        <w:t>S. Apicella</w:t>
      </w:r>
      <w:r w:rsidR="001B2276" w:rsidRPr="001B2276">
        <w:rPr>
          <w:i w:val="0"/>
          <w:vertAlign w:val="superscript"/>
          <w:lang w:val="it-IT"/>
        </w:rPr>
        <w:t>1</w:t>
      </w:r>
      <w:r w:rsidRPr="001B2276">
        <w:rPr>
          <w:i w:val="0"/>
          <w:lang w:val="it-IT"/>
        </w:rPr>
        <w:t>, F. Dalmagioni</w:t>
      </w:r>
      <w:r w:rsidR="001B2276">
        <w:rPr>
          <w:i w:val="0"/>
          <w:vertAlign w:val="superscript"/>
          <w:lang w:val="it-IT"/>
        </w:rPr>
        <w:t>1</w:t>
      </w:r>
      <w:r w:rsidRPr="001B2276">
        <w:rPr>
          <w:i w:val="0"/>
          <w:lang w:val="it-IT"/>
        </w:rPr>
        <w:t>, E. Vahapoglu</w:t>
      </w:r>
      <w:r w:rsidR="001B2276">
        <w:rPr>
          <w:i w:val="0"/>
          <w:vertAlign w:val="superscript"/>
          <w:lang w:val="it-IT"/>
        </w:rPr>
        <w:t>1</w:t>
      </w:r>
      <w:r w:rsidRPr="001B2276">
        <w:rPr>
          <w:i w:val="0"/>
          <w:lang w:val="it-IT"/>
        </w:rPr>
        <w:t>, W. H. Lim</w:t>
      </w:r>
      <w:r w:rsidR="00EF67AD">
        <w:rPr>
          <w:i w:val="0"/>
          <w:vertAlign w:val="superscript"/>
          <w:lang w:val="it-IT"/>
        </w:rPr>
        <w:t>1</w:t>
      </w:r>
      <w:r w:rsidRPr="001B2276">
        <w:rPr>
          <w:i w:val="0"/>
          <w:lang w:val="it-IT"/>
        </w:rPr>
        <w:t>, N. Meggiato</w:t>
      </w:r>
      <w:r w:rsidR="00EF67AD">
        <w:rPr>
          <w:i w:val="0"/>
          <w:vertAlign w:val="superscript"/>
          <w:lang w:val="it-IT"/>
        </w:rPr>
        <w:t>1</w:t>
      </w:r>
      <w:r w:rsidRPr="001B2276">
        <w:rPr>
          <w:i w:val="0"/>
          <w:lang w:val="it-IT"/>
        </w:rPr>
        <w:t>, A. Laucht</w:t>
      </w:r>
      <w:r w:rsidR="00EF67AD">
        <w:rPr>
          <w:i w:val="0"/>
          <w:vertAlign w:val="superscript"/>
          <w:lang w:val="it-IT"/>
        </w:rPr>
        <w:t>1</w:t>
      </w:r>
      <w:r w:rsidRPr="001B2276">
        <w:rPr>
          <w:i w:val="0"/>
          <w:lang w:val="it-IT"/>
        </w:rPr>
        <w:t>, A. Dzurak</w:t>
      </w:r>
      <w:r w:rsidR="00EF67AD">
        <w:rPr>
          <w:i w:val="0"/>
          <w:vertAlign w:val="superscript"/>
          <w:lang w:val="it-IT"/>
        </w:rPr>
        <w:t>1</w:t>
      </w:r>
      <w:r w:rsidRPr="001B2276">
        <w:rPr>
          <w:i w:val="0"/>
          <w:lang w:val="it-IT"/>
        </w:rPr>
        <w:t xml:space="preserve"> and J. Pla</w:t>
      </w:r>
      <w:r w:rsidR="00EF67AD">
        <w:rPr>
          <w:i w:val="0"/>
          <w:vertAlign w:val="superscript"/>
          <w:lang w:val="it-IT"/>
        </w:rPr>
        <w:t>1</w:t>
      </w:r>
      <w:r w:rsidRPr="001B2276">
        <w:rPr>
          <w:i w:val="0"/>
          <w:lang w:val="it-IT"/>
        </w:rPr>
        <w:t xml:space="preserve"> </w:t>
      </w:r>
    </w:p>
    <w:p w14:paraId="1DD8B8BA" w14:textId="397BB4EC" w:rsidR="00C77156" w:rsidRPr="00C77156" w:rsidRDefault="00224950" w:rsidP="007A48A4">
      <w:pPr>
        <w:pStyle w:val="Affiliation"/>
      </w:pPr>
      <w:r w:rsidRPr="00224950">
        <w:rPr>
          <w:rFonts w:hint="eastAsia"/>
          <w:iCs/>
          <w:vertAlign w:val="superscript"/>
        </w:rPr>
        <w:t>1</w:t>
      </w:r>
      <w:r w:rsidR="00784CB2">
        <w:t>School of Electrical Engineering and Telecommunications, UNSW Sydney, Australia</w:t>
      </w:r>
    </w:p>
    <w:p w14:paraId="49373D7E" w14:textId="77777777" w:rsidR="00480AB4" w:rsidRDefault="00480AB4" w:rsidP="001E4F9A"/>
    <w:p w14:paraId="78B3CE8A" w14:textId="77777777" w:rsidR="00B15747" w:rsidRPr="00805CB6" w:rsidRDefault="00B15747" w:rsidP="00B15747">
      <w:r w:rsidRPr="00805CB6">
        <w:t>Spin-based quantum devices hold promise for scalable quantum computing, as they are compatible with current large-scale fabrication processes in the semiconducting industry and display much smaller footprints than other qubits platforms. However, one of the main challenges for spin-based quantum computing lies in the ability to individually control large numbers of spin qubits. Different approaches have been investigated in the literature, ranging from having an on-chip transmission line per qubit [1], to generating a global field spanning the whole device, an idea known as ‘global control’ which was first proposed in 1998 [2]. Global control offers a truly scalable solution to qubit control and recent work has demonstrated important aspects of the technique [3,4], where an off-chip 3D dielectric resonator (DR) was excited by a loop coupler to generate the magnetic field needed to control spin qubits.</w:t>
      </w:r>
    </w:p>
    <w:p w14:paraId="250788FC" w14:textId="77777777" w:rsidR="00B15747" w:rsidRPr="00805CB6" w:rsidRDefault="00B15747" w:rsidP="00B15747">
      <w:r w:rsidRPr="00805CB6">
        <w:t xml:space="preserve">The integration of DRs with quantum </w:t>
      </w:r>
      <w:proofErr w:type="spellStart"/>
      <w:r w:rsidRPr="00805CB6">
        <w:t>nanoelectronic</w:t>
      </w:r>
      <w:proofErr w:type="spellEnd"/>
      <w:r w:rsidRPr="00805CB6">
        <w:t xml:space="preserve"> devices, however, presents several challenges. The internal quality factor </w:t>
      </w:r>
      <m:oMath>
        <m:r>
          <w:rPr>
            <w:rFonts w:ascii="Cambria Math" w:hAnsi="Cambria Math"/>
          </w:rPr>
          <m:t>Q</m:t>
        </m:r>
      </m:oMath>
      <w:r w:rsidRPr="00805CB6">
        <w:t xml:space="preserve"> of the DR ultimately determines how efficiently applied microwave power is converted into the magnetic fields used for qubit control [3]. To maximize </w:t>
      </w:r>
      <m:oMath>
        <m:r>
          <w:rPr>
            <w:rFonts w:ascii="Cambria Math" w:hAnsi="Cambria Math"/>
          </w:rPr>
          <m:t>Q</m:t>
        </m:r>
      </m:oMath>
      <w:r w:rsidRPr="00805CB6">
        <w:t xml:space="preserve"> and therefore minimize the power needed for qubit control, careful material choice is required to reduce microwave losses present in the system. On the other hand, quantum devices are typically made from metallic gates and bond wires, essential for controlling the qubits inside the chip, which can induce substantial loss and degrade the DR quality factor. In this work we detail this trade-off, showing how the device affects the quality factor of the cavity, and possible avenues to overcome this challenge, retaining low losses and the original chip design simultaneously. </w:t>
      </w:r>
    </w:p>
    <w:p w14:paraId="2D1EE0F9" w14:textId="77777777" w:rsidR="00B15747" w:rsidRPr="00805CB6" w:rsidRDefault="00B15747" w:rsidP="00B15747">
      <w:r w:rsidRPr="00805CB6">
        <w:t xml:space="preserve">We present reflection measurements conducted at 4 K, showing how the introduction of the device into the enclosure containing the DR affects the quality factor. We support the measurement results with 3D finite element simulations, which provide additional insight into the different pathways for resonator losses. These results shine new light on the interplay between </w:t>
      </w:r>
      <w:proofErr w:type="gramStart"/>
      <w:r w:rsidRPr="00805CB6">
        <w:t>an</w:t>
      </w:r>
      <w:proofErr w:type="gramEnd"/>
      <w:r w:rsidRPr="00805CB6">
        <w:t xml:space="preserve"> high quality dielectric resonator and a quantum </w:t>
      </w:r>
      <w:proofErr w:type="spellStart"/>
      <w:r w:rsidRPr="00805CB6">
        <w:t>nanoelectronic</w:t>
      </w:r>
      <w:proofErr w:type="spellEnd"/>
      <w:r w:rsidRPr="00805CB6">
        <w:t xml:space="preserve"> device, providing insight on how to integrate one with the other, and building the foundations to control spin qubits with a dielectric resonator.</w:t>
      </w:r>
    </w:p>
    <w:p w14:paraId="0DED2F1D" w14:textId="77777777" w:rsidR="007553E8" w:rsidRPr="00805CB6" w:rsidRDefault="007553E8" w:rsidP="007553E8">
      <w:pPr>
        <w:pStyle w:val="Reference"/>
        <w:rPr>
          <w:lang w:val="it-IT"/>
        </w:rPr>
      </w:pPr>
    </w:p>
    <w:p w14:paraId="156C16D3" w14:textId="77777777" w:rsidR="007553E8" w:rsidRPr="00805CB6" w:rsidRDefault="007553E8" w:rsidP="007553E8">
      <w:pPr>
        <w:pStyle w:val="Reference"/>
        <w:rPr>
          <w:lang w:val="it-IT"/>
        </w:rPr>
      </w:pPr>
    </w:p>
    <w:p w14:paraId="15F73939" w14:textId="77777777" w:rsidR="007553E8" w:rsidRPr="00805CB6" w:rsidRDefault="007553E8" w:rsidP="007553E8">
      <w:pPr>
        <w:pStyle w:val="Reference"/>
        <w:rPr>
          <w:lang w:val="it-IT"/>
        </w:rPr>
      </w:pPr>
    </w:p>
    <w:p w14:paraId="7D8BB241" w14:textId="77777777" w:rsidR="00805CB6" w:rsidRPr="00805CB6" w:rsidRDefault="00805CB6" w:rsidP="00805CB6">
      <w:r w:rsidRPr="00805CB6">
        <w:t xml:space="preserve">[1] F. </w:t>
      </w:r>
      <w:proofErr w:type="spellStart"/>
      <w:r w:rsidRPr="00805CB6">
        <w:t>Koppens</w:t>
      </w:r>
      <w:proofErr w:type="spellEnd"/>
      <w:r w:rsidRPr="00805CB6">
        <w:t xml:space="preserve"> </w:t>
      </w:r>
      <w:proofErr w:type="gramStart"/>
      <w:r w:rsidRPr="00E24E48">
        <w:t xml:space="preserve">et </w:t>
      </w:r>
      <w:proofErr w:type="spellStart"/>
      <w:r w:rsidRPr="00E24E48">
        <w:t>al</w:t>
      </w:r>
      <w:r w:rsidRPr="00805CB6">
        <w:rPr>
          <w:i/>
          <w:iCs/>
        </w:rPr>
        <w:t>.,</w:t>
      </w:r>
      <w:r w:rsidRPr="00E24E48">
        <w:rPr>
          <w:i/>
          <w:iCs/>
        </w:rPr>
        <w:t>Nature</w:t>
      </w:r>
      <w:proofErr w:type="spellEnd"/>
      <w:proofErr w:type="gramEnd"/>
      <w:r w:rsidRPr="00805CB6">
        <w:t xml:space="preserve"> </w:t>
      </w:r>
      <w:r w:rsidRPr="00805CB6">
        <w:rPr>
          <w:b/>
          <w:bCs/>
        </w:rPr>
        <w:t xml:space="preserve">442, </w:t>
      </w:r>
      <w:r w:rsidRPr="00805CB6">
        <w:t>776-771 (2006)</w:t>
      </w:r>
    </w:p>
    <w:p w14:paraId="73427560" w14:textId="77777777" w:rsidR="00805CB6" w:rsidRPr="00805CB6" w:rsidRDefault="00805CB6" w:rsidP="00805CB6">
      <w:r w:rsidRPr="00805CB6">
        <w:t xml:space="preserve">[2] B. E. Kane, </w:t>
      </w:r>
      <w:r w:rsidRPr="00E24E48">
        <w:rPr>
          <w:i/>
          <w:iCs/>
        </w:rPr>
        <w:t>Nature</w:t>
      </w:r>
      <w:r w:rsidRPr="00805CB6">
        <w:t xml:space="preserve"> </w:t>
      </w:r>
      <w:r w:rsidRPr="00805CB6">
        <w:rPr>
          <w:b/>
          <w:bCs/>
        </w:rPr>
        <w:t>393</w:t>
      </w:r>
      <w:r w:rsidRPr="00805CB6">
        <w:t>, 133-137 (1998)</w:t>
      </w:r>
    </w:p>
    <w:p w14:paraId="579DE2BA" w14:textId="77777777" w:rsidR="00805CB6" w:rsidRPr="00805CB6" w:rsidRDefault="00805CB6" w:rsidP="00805CB6">
      <w:r w:rsidRPr="00805CB6">
        <w:t xml:space="preserve">[3] E. Vahapoglu </w:t>
      </w:r>
      <w:r w:rsidRPr="00E24E48">
        <w:t>et al.</w:t>
      </w:r>
      <w:r w:rsidRPr="00805CB6">
        <w:rPr>
          <w:i/>
          <w:iCs/>
        </w:rPr>
        <w:t xml:space="preserve">, </w:t>
      </w:r>
      <w:r w:rsidRPr="00E24E48">
        <w:rPr>
          <w:i/>
          <w:iCs/>
        </w:rPr>
        <w:t>Science Advances</w:t>
      </w:r>
      <w:r w:rsidRPr="00805CB6">
        <w:t xml:space="preserve"> </w:t>
      </w:r>
      <w:r w:rsidRPr="00805CB6">
        <w:rPr>
          <w:b/>
          <w:bCs/>
        </w:rPr>
        <w:t xml:space="preserve">7, </w:t>
      </w:r>
      <w:r w:rsidRPr="00805CB6">
        <w:t>eabg9158 (2021)</w:t>
      </w:r>
    </w:p>
    <w:p w14:paraId="5F0FE757" w14:textId="77777777" w:rsidR="00805CB6" w:rsidRPr="00805CB6" w:rsidRDefault="00805CB6" w:rsidP="00805CB6">
      <w:pPr>
        <w:rPr>
          <w:lang w:val="it-IT"/>
        </w:rPr>
      </w:pPr>
      <w:r w:rsidRPr="00805CB6">
        <w:rPr>
          <w:lang w:val="it-IT"/>
        </w:rPr>
        <w:t xml:space="preserve">[4] E. Vahapoglu </w:t>
      </w:r>
      <w:r w:rsidRPr="00E24E48">
        <w:rPr>
          <w:lang w:val="it-IT"/>
        </w:rPr>
        <w:t>et al</w:t>
      </w:r>
      <w:r w:rsidRPr="00805CB6">
        <w:rPr>
          <w:i/>
          <w:iCs/>
          <w:lang w:val="it-IT"/>
        </w:rPr>
        <w:t xml:space="preserve">., </w:t>
      </w:r>
      <w:r w:rsidRPr="00E24E48">
        <w:rPr>
          <w:i/>
          <w:iCs/>
          <w:lang w:val="it-IT"/>
        </w:rPr>
        <w:t>npj Quantum Information</w:t>
      </w:r>
      <w:r w:rsidRPr="00805CB6">
        <w:rPr>
          <w:lang w:val="it-IT"/>
        </w:rPr>
        <w:t xml:space="preserve"> </w:t>
      </w:r>
      <w:r w:rsidRPr="00805CB6">
        <w:rPr>
          <w:b/>
          <w:bCs/>
          <w:lang w:val="it-IT"/>
        </w:rPr>
        <w:t xml:space="preserve">8, </w:t>
      </w:r>
      <w:r w:rsidRPr="00805CB6">
        <w:rPr>
          <w:lang w:val="it-IT"/>
        </w:rPr>
        <w:t>126 (2022)</w:t>
      </w:r>
    </w:p>
    <w:p w14:paraId="47B56DBA" w14:textId="77777777" w:rsidR="00224950" w:rsidRPr="00805CB6" w:rsidRDefault="00224950" w:rsidP="001E4F9A">
      <w:pPr>
        <w:rPr>
          <w:lang w:val="it-IT"/>
        </w:rPr>
      </w:pPr>
    </w:p>
    <w:sectPr w:rsidR="00224950" w:rsidRPr="00805C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9F9ED" w14:textId="77777777" w:rsidR="00CB01DF" w:rsidRDefault="00CB01DF" w:rsidP="00CE15CF">
      <w:pPr>
        <w:spacing w:after="0" w:line="240" w:lineRule="auto"/>
      </w:pPr>
      <w:r>
        <w:separator/>
      </w:r>
    </w:p>
  </w:endnote>
  <w:endnote w:type="continuationSeparator" w:id="0">
    <w:p w14:paraId="5D1F9689" w14:textId="77777777" w:rsidR="00CB01DF" w:rsidRDefault="00CB01D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1B979" w14:textId="77777777" w:rsidR="00CB01DF" w:rsidRDefault="00CB01DF" w:rsidP="00CE15CF">
      <w:pPr>
        <w:spacing w:after="0" w:line="240" w:lineRule="auto"/>
      </w:pPr>
      <w:r>
        <w:separator/>
      </w:r>
    </w:p>
  </w:footnote>
  <w:footnote w:type="continuationSeparator" w:id="0">
    <w:p w14:paraId="7DFB31E0" w14:textId="77777777" w:rsidR="00CB01DF" w:rsidRDefault="00CB01D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92CFE"/>
    <w:rsid w:val="00196367"/>
    <w:rsid w:val="001B2276"/>
    <w:rsid w:val="001E4F9A"/>
    <w:rsid w:val="00224950"/>
    <w:rsid w:val="00310969"/>
    <w:rsid w:val="00354FC6"/>
    <w:rsid w:val="003B5A75"/>
    <w:rsid w:val="00480AB4"/>
    <w:rsid w:val="004C18D2"/>
    <w:rsid w:val="004D7D68"/>
    <w:rsid w:val="00514895"/>
    <w:rsid w:val="00573209"/>
    <w:rsid w:val="005B24EF"/>
    <w:rsid w:val="00642FF7"/>
    <w:rsid w:val="0069213C"/>
    <w:rsid w:val="00694951"/>
    <w:rsid w:val="00751E64"/>
    <w:rsid w:val="007553E8"/>
    <w:rsid w:val="00784CB2"/>
    <w:rsid w:val="007A48A4"/>
    <w:rsid w:val="007B47C9"/>
    <w:rsid w:val="00805CB6"/>
    <w:rsid w:val="00A00D9F"/>
    <w:rsid w:val="00A322E1"/>
    <w:rsid w:val="00A50716"/>
    <w:rsid w:val="00A8352C"/>
    <w:rsid w:val="00A85156"/>
    <w:rsid w:val="00AE30CA"/>
    <w:rsid w:val="00AE43D2"/>
    <w:rsid w:val="00B15747"/>
    <w:rsid w:val="00B24FDF"/>
    <w:rsid w:val="00BA4C5D"/>
    <w:rsid w:val="00C06AC6"/>
    <w:rsid w:val="00C77156"/>
    <w:rsid w:val="00CB01DF"/>
    <w:rsid w:val="00CE11C9"/>
    <w:rsid w:val="00CE15CF"/>
    <w:rsid w:val="00E24E48"/>
    <w:rsid w:val="00E47FF0"/>
    <w:rsid w:val="00EA0133"/>
    <w:rsid w:val="00EE472A"/>
    <w:rsid w:val="00EF67AD"/>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Savi' Apicella</cp:lastModifiedBy>
  <cp:revision>39</cp:revision>
  <dcterms:created xsi:type="dcterms:W3CDTF">2024-05-21T00:35:00Z</dcterms:created>
  <dcterms:modified xsi:type="dcterms:W3CDTF">2024-09-01T23:43:00Z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