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4B616" w14:textId="3D96A26B" w:rsidR="00A8352C" w:rsidRPr="00C77156" w:rsidRDefault="00D919C5" w:rsidP="001E4F9A">
      <w:pPr>
        <w:pStyle w:val="Title"/>
      </w:pPr>
      <w:r>
        <w:t>Quantum co</w:t>
      </w:r>
      <w:r w:rsidR="00E041D8">
        <w:t>m</w:t>
      </w:r>
      <w:r>
        <w:t>puting</w:t>
      </w:r>
      <w:r w:rsidR="00601F56">
        <w:t xml:space="preserve"> in vertically coupled double quantum dots</w:t>
      </w:r>
    </w:p>
    <w:p w14:paraId="4393ABC7" w14:textId="428A51CF" w:rsidR="00C77156" w:rsidRPr="005E3D7E" w:rsidRDefault="00601F56" w:rsidP="001E4F9A">
      <w:pPr>
        <w:pStyle w:val="Authorlist"/>
        <w:rPr>
          <w:lang w:val="nl-NL"/>
        </w:rPr>
      </w:pPr>
      <w:r w:rsidRPr="005E3D7E">
        <w:rPr>
          <w:lang w:val="nl-NL"/>
        </w:rPr>
        <w:t>Hanifa Tidjani</w:t>
      </w:r>
      <w:r w:rsidR="00224950" w:rsidRPr="005E3D7E">
        <w:rPr>
          <w:rFonts w:hint="eastAsia"/>
          <w:vertAlign w:val="superscript"/>
          <w:lang w:val="nl-NL"/>
        </w:rPr>
        <w:t>1</w:t>
      </w:r>
      <w:r w:rsidR="00C77156" w:rsidRPr="005E3D7E">
        <w:rPr>
          <w:rFonts w:hint="eastAsia"/>
          <w:lang w:val="nl-NL"/>
        </w:rPr>
        <w:t xml:space="preserve">, </w:t>
      </w:r>
      <w:r w:rsidRPr="005E3D7E">
        <w:rPr>
          <w:lang w:val="nl-NL"/>
        </w:rPr>
        <w:t>Dario Denora</w:t>
      </w:r>
      <w:r w:rsidR="00224950" w:rsidRPr="005E3D7E">
        <w:rPr>
          <w:rFonts w:hint="eastAsia"/>
          <w:vertAlign w:val="superscript"/>
          <w:lang w:val="nl-NL"/>
        </w:rPr>
        <w:t>1</w:t>
      </w:r>
      <w:r w:rsidR="00C77156" w:rsidRPr="005E3D7E">
        <w:rPr>
          <w:rFonts w:hint="eastAsia"/>
          <w:lang w:val="nl-NL"/>
        </w:rPr>
        <w:t xml:space="preserve">, </w:t>
      </w:r>
      <w:r w:rsidRPr="005E3D7E">
        <w:rPr>
          <w:lang w:val="nl-NL"/>
        </w:rPr>
        <w:t>Menno Veldhorst</w:t>
      </w:r>
      <w:r w:rsidR="00E041D8" w:rsidRPr="005E3D7E">
        <w:rPr>
          <w:rFonts w:hint="eastAsia"/>
          <w:vertAlign w:val="superscript"/>
          <w:lang w:val="nl-NL"/>
        </w:rPr>
        <w:t>1</w:t>
      </w:r>
    </w:p>
    <w:p w14:paraId="49373D7E" w14:textId="63F47BA8" w:rsidR="00480AB4" w:rsidRDefault="00224950" w:rsidP="00976522">
      <w:pPr>
        <w:pStyle w:val="Affiliation"/>
      </w:pPr>
      <w:r w:rsidRPr="00224950">
        <w:rPr>
          <w:rFonts w:hint="eastAsia"/>
          <w:iCs/>
          <w:vertAlign w:val="superscript"/>
        </w:rPr>
        <w:t>1</w:t>
      </w:r>
      <w:r w:rsidR="00AC392E">
        <w:t>Q</w:t>
      </w:r>
      <w:r w:rsidR="00AC392E" w:rsidRPr="00AC392E">
        <w:t>uTech and Kavli Institute of Nanoscience, Delft University of Technology, P.O. Box 5046, Delft 2600 GA, The Netherlands</w:t>
      </w:r>
    </w:p>
    <w:p w14:paraId="5EBF59FD" w14:textId="77777777" w:rsidR="00976522" w:rsidRDefault="00976522" w:rsidP="00976522">
      <w:pPr>
        <w:pStyle w:val="Affiliation"/>
      </w:pPr>
    </w:p>
    <w:p w14:paraId="424FB5EB" w14:textId="6BB0A3D6" w:rsidR="003854AF" w:rsidRDefault="000E2FDD" w:rsidP="00601F56">
      <w:r w:rsidRPr="000E2FDD">
        <w:t>Large qubit counts and high connectivity are crucial for advancing quantum computers. However, scaling efforts for semiconductor-based spin qubits have mostly been limited to one- or two-dimensional arrays.</w:t>
      </w:r>
      <w:r w:rsidR="00754D4C">
        <w:t xml:space="preserve"> </w:t>
      </w:r>
      <w:r w:rsidR="00754D4C" w:rsidRPr="00754D4C">
        <w:t xml:space="preserve">We recently demonstrated that vertical double quantum dots can be formed by biasing a bilayer germanium heterostructure, forming arrays scaled in the z-direction </w:t>
      </w:r>
      <w:r w:rsidR="00754D4C">
        <w:t>[</w:t>
      </w:r>
      <w:r w:rsidR="007E27A0">
        <w:t>1,2</w:t>
      </w:r>
      <w:r>
        <w:t xml:space="preserve">]. </w:t>
      </w:r>
      <w:r w:rsidRPr="000E2FDD">
        <w:t>Building on this work</w:t>
      </w:r>
      <w:r w:rsidR="00601F56">
        <w:t xml:space="preserve">, we investigate </w:t>
      </w:r>
      <w:r w:rsidR="00455912">
        <w:t>how</w:t>
      </w:r>
      <w:r w:rsidR="00601F56">
        <w:t xml:space="preserve"> </w:t>
      </w:r>
      <w:r w:rsidR="00754D4C">
        <w:t>vertically coupled</w:t>
      </w:r>
      <w:r w:rsidR="00601F56">
        <w:t xml:space="preserve"> quantum dots can be operated as spin qubits, and how their properties differ from planar implementations</w:t>
      </w:r>
      <w:r>
        <w:t>. This is done on</w:t>
      </w:r>
      <w:r w:rsidR="007E27A0">
        <w:t xml:space="preserve"> a bilayer geranium quantum well heterostructure, with a 10nm SiGe spacer between the quantum wells. </w:t>
      </w:r>
      <w:r>
        <w:t xml:space="preserve">We operate in </w:t>
      </w:r>
      <w:r w:rsidR="00754D4C" w:rsidRPr="00754D4C">
        <w:t>‘isolat</w:t>
      </w:r>
      <w:r w:rsidR="00AC392E">
        <w:t>ed</w:t>
      </w:r>
      <w:r w:rsidR="00754D4C" w:rsidRPr="00754D4C">
        <w:t xml:space="preserve"> mode’, where the total number of holes remains fixed due to minimal dot-reservoir coupling. The greater working voltage window afforded by working in isolat</w:t>
      </w:r>
      <w:r w:rsidR="00AC392E">
        <w:t>ed</w:t>
      </w:r>
      <w:r w:rsidR="00754D4C" w:rsidRPr="00754D4C">
        <w:t xml:space="preserve"> mode enables us to perform diabatic spin shutting</w:t>
      </w:r>
      <w:r>
        <w:t xml:space="preserve"> between layers</w:t>
      </w:r>
      <w:r w:rsidR="00754D4C" w:rsidRPr="00754D4C">
        <w:t xml:space="preserve"> in a </w:t>
      </w:r>
      <w:r w:rsidR="009B7C75">
        <w:t>three</w:t>
      </w:r>
      <w:r w:rsidR="00754D4C" w:rsidRPr="00754D4C">
        <w:t xml:space="preserve">-spin, </w:t>
      </w:r>
      <w:r w:rsidR="009B7C75">
        <w:t>four</w:t>
      </w:r>
      <w:r w:rsidR="00754D4C" w:rsidRPr="00754D4C">
        <w:t>-</w:t>
      </w:r>
      <w:r w:rsidR="009B7C75">
        <w:t xml:space="preserve">quantum </w:t>
      </w:r>
      <w:r w:rsidR="00754D4C" w:rsidRPr="00754D4C">
        <w:t>dot configuration</w:t>
      </w:r>
      <w:r w:rsidR="00754D4C">
        <w:t>, and observe hopping induced oscillations due to the difference in quantisation axis</w:t>
      </w:r>
      <w:r w:rsidR="00743B55">
        <w:t xml:space="preserve"> [3]</w:t>
      </w:r>
      <w:r w:rsidR="001F7E4C">
        <w:t>, see figure 1</w:t>
      </w:r>
      <w:r w:rsidR="00754D4C">
        <w:t xml:space="preserve">. </w:t>
      </w:r>
      <w:r w:rsidR="009B7C75">
        <w:t xml:space="preserve"> Potential engineering of the quantisation axis of the dots in different layers may provide a path to hopping based qubits with engineered quantisation axis. </w:t>
      </w:r>
      <w:r w:rsidR="00754D4C" w:rsidRPr="00754D4C">
        <w:t xml:space="preserve">This demonstration of coherent operation of bilayer devices opens the door to new research avenues in quantum simulation </w:t>
      </w:r>
      <w:r w:rsidR="00743B55">
        <w:t xml:space="preserve">and computation, </w:t>
      </w:r>
      <w:r w:rsidR="009B7C75">
        <w:t>with higher connectivity than previously possible</w:t>
      </w:r>
      <w:r w:rsidR="00754D4C" w:rsidRPr="00754D4C">
        <w:t>.</w:t>
      </w:r>
    </w:p>
    <w:p w14:paraId="2E26A6E3" w14:textId="75FBEE2F" w:rsidR="007B47C9" w:rsidRDefault="000E2FDD" w:rsidP="007B47C9">
      <w:pPr>
        <w:keepNext/>
        <w:jc w:val="center"/>
      </w:pPr>
      <w:r w:rsidRPr="000E2FDD">
        <w:drawing>
          <wp:inline distT="0" distB="0" distL="0" distR="0" wp14:anchorId="5CED8014" wp14:editId="3FF1D5DB">
            <wp:extent cx="5505450" cy="3152855"/>
            <wp:effectExtent l="0" t="0" r="0" b="9525"/>
            <wp:docPr id="453021460" name="Picture 1" descr="A screen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021460" name="Picture 1" descr="A screenshot of a diagram&#10;&#10;Description automatically generated"/>
                    <pic:cNvPicPr/>
                  </pic:nvPicPr>
                  <pic:blipFill>
                    <a:blip r:embed="rId10"/>
                    <a:stretch>
                      <a:fillRect/>
                    </a:stretch>
                  </pic:blipFill>
                  <pic:spPr>
                    <a:xfrm>
                      <a:off x="0" y="0"/>
                      <a:ext cx="5510451" cy="3155719"/>
                    </a:xfrm>
                    <a:prstGeom prst="rect">
                      <a:avLst/>
                    </a:prstGeom>
                  </pic:spPr>
                </pic:pic>
              </a:graphicData>
            </a:graphic>
          </wp:inline>
        </w:drawing>
      </w:r>
    </w:p>
    <w:p w14:paraId="16840874" w14:textId="55F09753" w:rsidR="007553E8" w:rsidRDefault="007B47C9" w:rsidP="00AC392E">
      <w:pPr>
        <w:pStyle w:val="Caption"/>
      </w:pPr>
      <w:r w:rsidRPr="00751E64">
        <w:t xml:space="preserve">Figure </w:t>
      </w:r>
      <w:r w:rsidR="00430707">
        <w:fldChar w:fldCharType="begin"/>
      </w:r>
      <w:r w:rsidR="00430707">
        <w:instrText xml:space="preserve"> SEQ Figure \* ARABIC </w:instrText>
      </w:r>
      <w:r w:rsidR="00430707">
        <w:fldChar w:fldCharType="separate"/>
      </w:r>
      <w:r w:rsidRPr="00751E64">
        <w:t>1</w:t>
      </w:r>
      <w:r w:rsidR="00430707">
        <w:fldChar w:fldCharType="end"/>
      </w:r>
      <w:r w:rsidRPr="00751E64">
        <w:rPr>
          <w:rFonts w:hint="eastAsia"/>
        </w:rPr>
        <w:t xml:space="preserve">, </w:t>
      </w:r>
      <w:r w:rsidR="007A03BC">
        <w:t xml:space="preserve">Diabatic shuttling of a spin in a vertical configuration. </w:t>
      </w:r>
      <w:r w:rsidR="00AC392E">
        <w:t>a) (c) The oscillations induced by shutting along the blue (pink) line in b, which shows the isolated mode charge stability diagram for the triple dot, where there is one vertical double dot. The pulse sequence is outlined in (d) and (e)</w:t>
      </w:r>
    </w:p>
    <w:tbl>
      <w:tblPr>
        <w:tblW w:w="12750" w:type="dxa"/>
        <w:tblCellMar>
          <w:left w:w="0" w:type="dxa"/>
          <w:right w:w="0" w:type="dxa"/>
        </w:tblCellMar>
        <w:tblLook w:val="04A0" w:firstRow="1" w:lastRow="0" w:firstColumn="1" w:lastColumn="0" w:noHBand="0" w:noVBand="1"/>
      </w:tblPr>
      <w:tblGrid>
        <w:gridCol w:w="10400"/>
        <w:gridCol w:w="640"/>
        <w:gridCol w:w="1710"/>
      </w:tblGrid>
      <w:tr w:rsidR="003612F1" w:rsidRPr="00976522" w14:paraId="692378D4" w14:textId="77777777" w:rsidTr="003612F1">
        <w:tc>
          <w:tcPr>
            <w:tcW w:w="0" w:type="auto"/>
            <w:tcMar>
              <w:top w:w="240" w:type="dxa"/>
              <w:left w:w="60" w:type="dxa"/>
              <w:bottom w:w="0" w:type="dxa"/>
              <w:right w:w="240" w:type="dxa"/>
            </w:tcMar>
            <w:hideMark/>
          </w:tcPr>
          <w:p w14:paraId="1C419E0D" w14:textId="3A279FE3" w:rsidR="00976522" w:rsidRDefault="00A322E1" w:rsidP="00976522">
            <w:pPr>
              <w:pStyle w:val="Reference"/>
              <w:rPr>
                <w:i/>
                <w:iCs/>
                <w:lang w:val="en-US"/>
              </w:rPr>
            </w:pPr>
            <w:r w:rsidRPr="00976522">
              <w:rPr>
                <w:rFonts w:hint="eastAsia"/>
              </w:rPr>
              <w:t>[1]</w:t>
            </w:r>
            <w:r w:rsidR="00B357E8">
              <w:t xml:space="preserve"> </w:t>
            </w:r>
            <w:r w:rsidRPr="00976522">
              <w:rPr>
                <w:rFonts w:hint="eastAsia"/>
              </w:rPr>
              <w:t xml:space="preserve"> </w:t>
            </w:r>
            <w:r w:rsidR="003612F1" w:rsidRPr="00976522">
              <w:t>H. Tidjani</w:t>
            </w:r>
            <w:r w:rsidR="00976522">
              <w:t xml:space="preserve"> </w:t>
            </w:r>
            <w:r w:rsidR="00B357E8" w:rsidRPr="00B357E8">
              <w:t>et al</w:t>
            </w:r>
            <w:r w:rsidR="003612F1" w:rsidRPr="00976522">
              <w:rPr>
                <w:lang w:val="en-US"/>
              </w:rPr>
              <w:t xml:space="preserve"> </w:t>
            </w:r>
            <w:r w:rsidR="003612F1" w:rsidRPr="00976522">
              <w:rPr>
                <w:i/>
                <w:iCs/>
                <w:lang w:val="en-US"/>
              </w:rPr>
              <w:t>Phys. Rev. Applied 20 (054035)</w:t>
            </w:r>
            <w:r w:rsidR="00AC392E" w:rsidRPr="00976522">
              <w:rPr>
                <w:i/>
                <w:iCs/>
                <w:lang w:val="en-US"/>
              </w:rPr>
              <w:t xml:space="preserve"> (2023)</w:t>
            </w:r>
          </w:p>
          <w:p w14:paraId="2FAB9251" w14:textId="42E861A8" w:rsidR="003612F1" w:rsidRPr="00976522" w:rsidRDefault="00CE11C9" w:rsidP="00976522">
            <w:pPr>
              <w:pStyle w:val="Reference"/>
              <w:rPr>
                <w:i/>
                <w:iCs/>
                <w:lang w:val="en-US"/>
              </w:rPr>
            </w:pPr>
            <w:r w:rsidRPr="00976522">
              <w:rPr>
                <w:rFonts w:hint="eastAsia"/>
                <w:lang w:val="en-GB"/>
              </w:rPr>
              <w:t xml:space="preserve">[2] </w:t>
            </w:r>
            <w:r w:rsidR="003612F1" w:rsidRPr="00976522">
              <w:rPr>
                <w:lang w:val="en-GB"/>
              </w:rPr>
              <w:t xml:space="preserve"> A.S. Ivlev </w:t>
            </w:r>
            <w:r w:rsidR="00B357E8" w:rsidRPr="00B357E8">
              <w:t>et al</w:t>
            </w:r>
            <w:r w:rsidR="00B357E8" w:rsidRPr="00976522">
              <w:rPr>
                <w:lang w:val="en-US"/>
              </w:rPr>
              <w:t xml:space="preserve"> </w:t>
            </w:r>
            <w:r w:rsidR="003612F1" w:rsidRPr="00976522">
              <w:rPr>
                <w:i/>
                <w:iCs/>
                <w:lang w:val="en-US"/>
              </w:rPr>
              <w:t>Applied Physics Letters 125 (2)</w:t>
            </w:r>
            <w:r w:rsidR="00AC392E" w:rsidRPr="00976522">
              <w:rPr>
                <w:i/>
                <w:iCs/>
                <w:lang w:val="en-US"/>
              </w:rPr>
              <w:t xml:space="preserve"> (2024)</w:t>
            </w:r>
          </w:p>
        </w:tc>
        <w:tc>
          <w:tcPr>
            <w:tcW w:w="0" w:type="auto"/>
            <w:tcMar>
              <w:top w:w="240" w:type="dxa"/>
              <w:left w:w="120" w:type="dxa"/>
              <w:bottom w:w="0" w:type="dxa"/>
              <w:right w:w="120" w:type="dxa"/>
            </w:tcMar>
            <w:hideMark/>
          </w:tcPr>
          <w:p w14:paraId="6418F043" w14:textId="77777777" w:rsidR="003612F1" w:rsidRPr="00976522" w:rsidRDefault="001F7E4C" w:rsidP="003612F1">
            <w:pPr>
              <w:pStyle w:val="Reference"/>
              <w:rPr>
                <w:lang w:val="en-US"/>
              </w:rPr>
            </w:pPr>
            <w:hyperlink r:id="rId11" w:history="1">
              <w:r w:rsidR="003612F1" w:rsidRPr="00976522">
                <w:rPr>
                  <w:rStyle w:val="Hyperlink"/>
                  <w:lang w:val="en-US"/>
                </w:rPr>
                <w:t>2</w:t>
              </w:r>
            </w:hyperlink>
          </w:p>
        </w:tc>
        <w:tc>
          <w:tcPr>
            <w:tcW w:w="0" w:type="auto"/>
            <w:tcMar>
              <w:top w:w="240" w:type="dxa"/>
              <w:left w:w="240" w:type="dxa"/>
              <w:bottom w:w="0" w:type="dxa"/>
              <w:right w:w="240" w:type="dxa"/>
            </w:tcMar>
            <w:hideMark/>
          </w:tcPr>
          <w:p w14:paraId="2BC61514" w14:textId="77777777" w:rsidR="003612F1" w:rsidRPr="00976522" w:rsidRDefault="003612F1" w:rsidP="003612F1">
            <w:pPr>
              <w:pStyle w:val="Reference"/>
              <w:rPr>
                <w:lang w:val="en-US"/>
              </w:rPr>
            </w:pPr>
            <w:r w:rsidRPr="00976522">
              <w:rPr>
                <w:lang w:val="en-US"/>
              </w:rPr>
              <w:t>2024</w:t>
            </w:r>
          </w:p>
        </w:tc>
      </w:tr>
    </w:tbl>
    <w:p w14:paraId="2ACEF509" w14:textId="110DF50E" w:rsidR="00976522" w:rsidRPr="00B357E8" w:rsidRDefault="00976522" w:rsidP="003612F1">
      <w:pPr>
        <w:pStyle w:val="Reference"/>
        <w:rPr>
          <w:i/>
          <w:iCs/>
        </w:rPr>
      </w:pPr>
      <w:r>
        <w:t xml:space="preserve"> </w:t>
      </w:r>
      <w:r w:rsidR="00743B55" w:rsidRPr="00976522">
        <w:t xml:space="preserve">[3] </w:t>
      </w:r>
      <w:r w:rsidR="003612F1" w:rsidRPr="00976522">
        <w:t xml:space="preserve">C.A. Wang </w:t>
      </w:r>
      <w:r w:rsidR="00B357E8" w:rsidRPr="00B357E8">
        <w:t>et al</w:t>
      </w:r>
      <w:r w:rsidR="00B357E8" w:rsidRPr="00976522">
        <w:rPr>
          <w:lang w:val="en-US"/>
        </w:rPr>
        <w:t xml:space="preserve"> </w:t>
      </w:r>
      <w:r w:rsidR="003612F1" w:rsidRPr="00976522">
        <w:rPr>
          <w:i/>
          <w:iCs/>
        </w:rPr>
        <w:t>Science 385 (6707), 447-452</w:t>
      </w:r>
      <w:r w:rsidR="001208C0" w:rsidRPr="00976522">
        <w:rPr>
          <w:i/>
          <w:iCs/>
        </w:rPr>
        <w:t xml:space="preserve"> </w:t>
      </w:r>
      <w:r w:rsidR="00AC392E" w:rsidRPr="00976522">
        <w:rPr>
          <w:i/>
          <w:iCs/>
        </w:rPr>
        <w:t>(2024)</w:t>
      </w:r>
    </w:p>
    <w:sectPr w:rsidR="00976522" w:rsidRPr="00B357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218F3" w14:textId="77777777" w:rsidR="0075579F" w:rsidRDefault="0075579F" w:rsidP="00CE15CF">
      <w:pPr>
        <w:spacing w:after="0" w:line="240" w:lineRule="auto"/>
      </w:pPr>
      <w:r>
        <w:separator/>
      </w:r>
    </w:p>
  </w:endnote>
  <w:endnote w:type="continuationSeparator" w:id="0">
    <w:p w14:paraId="6A7F3EF8" w14:textId="77777777" w:rsidR="0075579F" w:rsidRDefault="0075579F"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1D4FB" w14:textId="77777777" w:rsidR="0075579F" w:rsidRDefault="0075579F" w:rsidP="00CE15CF">
      <w:pPr>
        <w:spacing w:after="0" w:line="240" w:lineRule="auto"/>
      </w:pPr>
      <w:r>
        <w:separator/>
      </w:r>
    </w:p>
  </w:footnote>
  <w:footnote w:type="continuationSeparator" w:id="0">
    <w:p w14:paraId="577C62B6" w14:textId="77777777" w:rsidR="0075579F" w:rsidRDefault="0075579F" w:rsidP="00CE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7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25675"/>
    <w:rsid w:val="00044947"/>
    <w:rsid w:val="00062E4E"/>
    <w:rsid w:val="000E1B2C"/>
    <w:rsid w:val="000E2FDD"/>
    <w:rsid w:val="001208C0"/>
    <w:rsid w:val="0015094A"/>
    <w:rsid w:val="00192CFE"/>
    <w:rsid w:val="00196367"/>
    <w:rsid w:val="001E4F9A"/>
    <w:rsid w:val="001F7E4C"/>
    <w:rsid w:val="00206F9E"/>
    <w:rsid w:val="00224950"/>
    <w:rsid w:val="002E4C54"/>
    <w:rsid w:val="00310969"/>
    <w:rsid w:val="00354FC6"/>
    <w:rsid w:val="003612F1"/>
    <w:rsid w:val="003722C1"/>
    <w:rsid w:val="003854AF"/>
    <w:rsid w:val="003940EB"/>
    <w:rsid w:val="003B5A75"/>
    <w:rsid w:val="003E44B6"/>
    <w:rsid w:val="00430707"/>
    <w:rsid w:val="00455912"/>
    <w:rsid w:val="00480AB4"/>
    <w:rsid w:val="00490335"/>
    <w:rsid w:val="004C18D2"/>
    <w:rsid w:val="00514895"/>
    <w:rsid w:val="0054533A"/>
    <w:rsid w:val="00573209"/>
    <w:rsid w:val="00595BD8"/>
    <w:rsid w:val="005A325E"/>
    <w:rsid w:val="005C1361"/>
    <w:rsid w:val="005D12A9"/>
    <w:rsid w:val="005E3D7E"/>
    <w:rsid w:val="00601F56"/>
    <w:rsid w:val="0069213C"/>
    <w:rsid w:val="00694951"/>
    <w:rsid w:val="006B255B"/>
    <w:rsid w:val="0071716E"/>
    <w:rsid w:val="00743B55"/>
    <w:rsid w:val="00751E64"/>
    <w:rsid w:val="00754D4C"/>
    <w:rsid w:val="007553E8"/>
    <w:rsid w:val="0075579F"/>
    <w:rsid w:val="0078217E"/>
    <w:rsid w:val="007A03BC"/>
    <w:rsid w:val="007B47C9"/>
    <w:rsid w:val="007E27A0"/>
    <w:rsid w:val="00947C3B"/>
    <w:rsid w:val="00976522"/>
    <w:rsid w:val="009B7C75"/>
    <w:rsid w:val="009E0A38"/>
    <w:rsid w:val="00A00D9F"/>
    <w:rsid w:val="00A322E1"/>
    <w:rsid w:val="00A50716"/>
    <w:rsid w:val="00A57FB4"/>
    <w:rsid w:val="00A7351B"/>
    <w:rsid w:val="00A75373"/>
    <w:rsid w:val="00A8352C"/>
    <w:rsid w:val="00AC392E"/>
    <w:rsid w:val="00AC3DA6"/>
    <w:rsid w:val="00AE30CA"/>
    <w:rsid w:val="00AE43D2"/>
    <w:rsid w:val="00B24FDF"/>
    <w:rsid w:val="00B357E8"/>
    <w:rsid w:val="00B66BEE"/>
    <w:rsid w:val="00BA4C5D"/>
    <w:rsid w:val="00C06AC6"/>
    <w:rsid w:val="00C60BC3"/>
    <w:rsid w:val="00C77156"/>
    <w:rsid w:val="00CE11C9"/>
    <w:rsid w:val="00CE15CF"/>
    <w:rsid w:val="00D919C5"/>
    <w:rsid w:val="00E041D8"/>
    <w:rsid w:val="00E04BCE"/>
    <w:rsid w:val="00E50A2F"/>
    <w:rsid w:val="00E51808"/>
    <w:rsid w:val="00EA0133"/>
    <w:rsid w:val="00EE472A"/>
    <w:rsid w:val="00F30FBB"/>
    <w:rsid w:val="00F7215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09D12"/>
  <w15:chartTrackingRefBased/>
  <w15:docId w15:val="{4CDE70E5-7AA1-4E67-8FE2-4695154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1E4F9A"/>
    <w:rPr>
      <w:rFonts w:ascii="Arial" w:hAnsi="Arial" w:cs="Arial"/>
    </w:rPr>
  </w:style>
  <w:style w:type="paragraph" w:styleId="Heading1">
    <w:name w:val="heading 1"/>
    <w:basedOn w:val="Normal"/>
    <w:next w:val="Normal"/>
    <w:link w:val="Heading1Char"/>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1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1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1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156"/>
    <w:rPr>
      <w:rFonts w:eastAsiaTheme="majorEastAsia" w:cstheme="majorBidi"/>
      <w:color w:val="272727" w:themeColor="text1" w:themeTint="D8"/>
    </w:rPr>
  </w:style>
  <w:style w:type="paragraph" w:styleId="Title">
    <w:name w:val="Title"/>
    <w:basedOn w:val="Normal"/>
    <w:next w:val="Normal"/>
    <w:link w:val="TitleChar"/>
    <w:qFormat/>
    <w:rsid w:val="00C77156"/>
    <w:pPr>
      <w:spacing w:after="80" w:line="240" w:lineRule="auto"/>
      <w:contextualSpacing/>
      <w:jc w:val="center"/>
    </w:pPr>
    <w:rPr>
      <w:rFonts w:eastAsiaTheme="majorEastAsia"/>
      <w:spacing w:val="-10"/>
      <w:kern w:val="28"/>
      <w:sz w:val="40"/>
      <w:szCs w:val="40"/>
    </w:rPr>
  </w:style>
  <w:style w:type="character" w:customStyle="1" w:styleId="TitleChar">
    <w:name w:val="Title Char"/>
    <w:basedOn w:val="DefaultParagraphFont"/>
    <w:link w:val="Title"/>
    <w:rsid w:val="00C77156"/>
    <w:rPr>
      <w:rFonts w:ascii="Arial" w:eastAsiaTheme="majorEastAsia" w:hAnsi="Arial" w:cs="Arial"/>
      <w:spacing w:val="-10"/>
      <w:kern w:val="28"/>
      <w:sz w:val="40"/>
      <w:szCs w:val="40"/>
    </w:rPr>
  </w:style>
  <w:style w:type="paragraph" w:styleId="Subtitle">
    <w:name w:val="Subtitle"/>
    <w:basedOn w:val="Normal"/>
    <w:next w:val="Normal"/>
    <w:link w:val="SubtitleChar"/>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C77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C7715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77156"/>
    <w:rPr>
      <w:i/>
      <w:iCs/>
      <w:color w:val="404040" w:themeColor="text1" w:themeTint="BF"/>
    </w:rPr>
  </w:style>
  <w:style w:type="paragraph" w:styleId="ListParagraph">
    <w:name w:val="List Paragraph"/>
    <w:basedOn w:val="Normal"/>
    <w:uiPriority w:val="34"/>
    <w:semiHidden/>
    <w:qFormat/>
    <w:rsid w:val="00C77156"/>
    <w:pPr>
      <w:ind w:left="720"/>
      <w:contextualSpacing/>
    </w:pPr>
  </w:style>
  <w:style w:type="character" w:styleId="IntenseEmphasis">
    <w:name w:val="Intense Emphasis"/>
    <w:basedOn w:val="DefaultParagraphFont"/>
    <w:uiPriority w:val="21"/>
    <w:semiHidden/>
    <w:qFormat/>
    <w:rsid w:val="00C77156"/>
    <w:rPr>
      <w:i/>
      <w:iCs/>
      <w:color w:val="2F5496" w:themeColor="accent1" w:themeShade="BF"/>
    </w:rPr>
  </w:style>
  <w:style w:type="paragraph" w:styleId="IntenseQuote">
    <w:name w:val="Intense Quote"/>
    <w:basedOn w:val="Normal"/>
    <w:next w:val="Normal"/>
    <w:link w:val="IntenseQuoteChar"/>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C77156"/>
    <w:rPr>
      <w:i/>
      <w:iCs/>
      <w:color w:val="2F5496" w:themeColor="accent1" w:themeShade="BF"/>
    </w:rPr>
  </w:style>
  <w:style w:type="character" w:styleId="IntenseReference">
    <w:name w:val="Intense Reference"/>
    <w:basedOn w:val="DefaultParagraphFont"/>
    <w:uiPriority w:val="32"/>
    <w:semiHidden/>
    <w:qFormat/>
    <w:rsid w:val="00C77156"/>
    <w:rPr>
      <w:b/>
      <w:bCs/>
      <w:smallCaps/>
      <w:color w:val="2F5496" w:themeColor="accent1" w:themeShade="BF"/>
      <w:spacing w:val="5"/>
    </w:rPr>
  </w:style>
  <w:style w:type="paragraph" w:customStyle="1" w:styleId="Authorlist">
    <w:name w:val="Author list"/>
    <w:basedOn w:val="Normal"/>
    <w:link w:val="AuthorlistChar"/>
    <w:uiPriority w:val="1"/>
    <w:qFormat/>
    <w:rsid w:val="00C77156"/>
    <w:pPr>
      <w:jc w:val="center"/>
    </w:pPr>
  </w:style>
  <w:style w:type="character" w:customStyle="1" w:styleId="AuthorlistChar">
    <w:name w:val="Author list Char"/>
    <w:basedOn w:val="DefaultParagraphFont"/>
    <w:link w:val="Authorlist"/>
    <w:uiPriority w:val="1"/>
    <w:rsid w:val="00C77156"/>
    <w:rPr>
      <w:rFonts w:ascii="Arial" w:hAnsi="Arial" w:cs="Arial"/>
    </w:rPr>
  </w:style>
  <w:style w:type="paragraph" w:customStyle="1" w:styleId="Affiliation">
    <w:name w:val="Affiliation"/>
    <w:basedOn w:val="Normal"/>
    <w:link w:val="AffiliationChar"/>
    <w:uiPriority w:val="2"/>
    <w:qFormat/>
    <w:rsid w:val="00C77156"/>
    <w:pPr>
      <w:spacing w:after="0"/>
      <w:jc w:val="center"/>
    </w:pPr>
    <w:rPr>
      <w:i/>
    </w:rPr>
  </w:style>
  <w:style w:type="character" w:customStyle="1" w:styleId="AffiliationChar">
    <w:name w:val="Affiliation Char"/>
    <w:basedOn w:val="DefaultParagraphFont"/>
    <w:link w:val="Affiliation"/>
    <w:uiPriority w:val="2"/>
    <w:rsid w:val="00C77156"/>
    <w:rPr>
      <w:rFonts w:ascii="Arial" w:hAnsi="Arial"/>
      <w:i/>
    </w:rPr>
  </w:style>
  <w:style w:type="paragraph" w:styleId="Caption">
    <w:name w:val="caption"/>
    <w:basedOn w:val="Normal"/>
    <w:next w:val="Normal"/>
    <w:uiPriority w:val="35"/>
    <w:unhideWhenUsed/>
    <w:qFormat/>
    <w:rsid w:val="00751E64"/>
    <w:pPr>
      <w:spacing w:after="200" w:line="240" w:lineRule="auto"/>
      <w:jc w:val="center"/>
    </w:pPr>
    <w:rPr>
      <w:i/>
      <w:iCs/>
      <w:sz w:val="20"/>
      <w:szCs w:val="18"/>
    </w:rPr>
  </w:style>
  <w:style w:type="paragraph" w:customStyle="1" w:styleId="Reference">
    <w:name w:val="Reference"/>
    <w:basedOn w:val="Normal"/>
    <w:uiPriority w:val="2"/>
    <w:qFormat/>
    <w:rsid w:val="007553E8"/>
    <w:pPr>
      <w:spacing w:after="0"/>
    </w:pPr>
  </w:style>
  <w:style w:type="paragraph" w:styleId="Header">
    <w:name w:val="header"/>
    <w:basedOn w:val="Normal"/>
    <w:link w:val="HeaderChar"/>
    <w:uiPriority w:val="99"/>
    <w:unhideWhenUsed/>
    <w:rsid w:val="00CE1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5CF"/>
    <w:rPr>
      <w:rFonts w:ascii="Arial" w:hAnsi="Arial" w:cs="Arial"/>
    </w:rPr>
  </w:style>
  <w:style w:type="paragraph" w:styleId="Footer">
    <w:name w:val="footer"/>
    <w:basedOn w:val="Normal"/>
    <w:link w:val="FooterChar"/>
    <w:uiPriority w:val="99"/>
    <w:unhideWhenUsed/>
    <w:rsid w:val="00CE1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5CF"/>
    <w:rPr>
      <w:rFonts w:ascii="Arial" w:hAnsi="Arial" w:cs="Arial"/>
    </w:rPr>
  </w:style>
  <w:style w:type="character" w:styleId="CommentReference">
    <w:name w:val="annotation reference"/>
    <w:basedOn w:val="DefaultParagraphFont"/>
    <w:uiPriority w:val="99"/>
    <w:semiHidden/>
    <w:unhideWhenUsed/>
    <w:rsid w:val="00430707"/>
    <w:rPr>
      <w:sz w:val="16"/>
      <w:szCs w:val="16"/>
    </w:rPr>
  </w:style>
  <w:style w:type="paragraph" w:styleId="CommentText">
    <w:name w:val="annotation text"/>
    <w:basedOn w:val="Normal"/>
    <w:link w:val="CommentTextChar"/>
    <w:uiPriority w:val="99"/>
    <w:unhideWhenUsed/>
    <w:rsid w:val="00430707"/>
    <w:pPr>
      <w:spacing w:line="240" w:lineRule="auto"/>
    </w:pPr>
    <w:rPr>
      <w:sz w:val="20"/>
      <w:szCs w:val="20"/>
    </w:rPr>
  </w:style>
  <w:style w:type="character" w:customStyle="1" w:styleId="CommentTextChar">
    <w:name w:val="Comment Text Char"/>
    <w:basedOn w:val="DefaultParagraphFont"/>
    <w:link w:val="CommentText"/>
    <w:uiPriority w:val="99"/>
    <w:rsid w:val="0043070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30707"/>
    <w:rPr>
      <w:b/>
      <w:bCs/>
    </w:rPr>
  </w:style>
  <w:style w:type="character" w:customStyle="1" w:styleId="CommentSubjectChar">
    <w:name w:val="Comment Subject Char"/>
    <w:basedOn w:val="CommentTextChar"/>
    <w:link w:val="CommentSubject"/>
    <w:uiPriority w:val="99"/>
    <w:semiHidden/>
    <w:rsid w:val="00430707"/>
    <w:rPr>
      <w:rFonts w:ascii="Arial" w:hAnsi="Arial" w:cs="Arial"/>
      <w:b/>
      <w:bCs/>
      <w:sz w:val="20"/>
      <w:szCs w:val="20"/>
    </w:rPr>
  </w:style>
  <w:style w:type="character" w:styleId="Hyperlink">
    <w:name w:val="Hyperlink"/>
    <w:basedOn w:val="DefaultParagraphFont"/>
    <w:uiPriority w:val="99"/>
    <w:unhideWhenUsed/>
    <w:rsid w:val="003612F1"/>
    <w:rPr>
      <w:color w:val="0563C1" w:themeColor="hyperlink"/>
      <w:u w:val="single"/>
    </w:rPr>
  </w:style>
  <w:style w:type="character" w:styleId="UnresolvedMention">
    <w:name w:val="Unresolved Mention"/>
    <w:basedOn w:val="DefaultParagraphFont"/>
    <w:uiPriority w:val="99"/>
    <w:semiHidden/>
    <w:unhideWhenUsed/>
    <w:rsid w:val="0036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0047549">
      <w:bodyDiv w:val="1"/>
      <w:marLeft w:val="0"/>
      <w:marRight w:val="0"/>
      <w:marTop w:val="0"/>
      <w:marBottom w:val="0"/>
      <w:divBdr>
        <w:top w:val="none" w:sz="0" w:space="0" w:color="auto"/>
        <w:left w:val="none" w:sz="0" w:space="0" w:color="auto"/>
        <w:bottom w:val="none" w:sz="0" w:space="0" w:color="auto"/>
        <w:right w:val="none" w:sz="0" w:space="0" w:color="auto"/>
      </w:divBdr>
    </w:div>
    <w:div w:id="1337730084">
      <w:bodyDiv w:val="1"/>
      <w:marLeft w:val="0"/>
      <w:marRight w:val="0"/>
      <w:marTop w:val="0"/>
      <w:marBottom w:val="0"/>
      <w:divBdr>
        <w:top w:val="none" w:sz="0" w:space="0" w:color="auto"/>
        <w:left w:val="none" w:sz="0" w:space="0" w:color="auto"/>
        <w:bottom w:val="none" w:sz="0" w:space="0" w:color="auto"/>
        <w:right w:val="none" w:sz="0" w:space="0" w:color="auto"/>
      </w:divBdr>
      <w:divsChild>
        <w:div w:id="1134297710">
          <w:marLeft w:val="0"/>
          <w:marRight w:val="0"/>
          <w:marTop w:val="0"/>
          <w:marBottom w:val="0"/>
          <w:divBdr>
            <w:top w:val="none" w:sz="0" w:space="0" w:color="auto"/>
            <w:left w:val="none" w:sz="0" w:space="0" w:color="auto"/>
            <w:bottom w:val="none" w:sz="0" w:space="0" w:color="auto"/>
            <w:right w:val="none" w:sz="0" w:space="0" w:color="auto"/>
          </w:divBdr>
          <w:divsChild>
            <w:div w:id="1183008851">
              <w:marLeft w:val="0"/>
              <w:marRight w:val="0"/>
              <w:marTop w:val="0"/>
              <w:marBottom w:val="0"/>
              <w:divBdr>
                <w:top w:val="none" w:sz="0" w:space="0" w:color="auto"/>
                <w:left w:val="none" w:sz="0" w:space="0" w:color="auto"/>
                <w:bottom w:val="none" w:sz="0" w:space="0" w:color="auto"/>
                <w:right w:val="none" w:sz="0" w:space="0" w:color="auto"/>
              </w:divBdr>
            </w:div>
            <w:div w:id="6928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89630">
      <w:bodyDiv w:val="1"/>
      <w:marLeft w:val="0"/>
      <w:marRight w:val="0"/>
      <w:marTop w:val="0"/>
      <w:marBottom w:val="0"/>
      <w:divBdr>
        <w:top w:val="none" w:sz="0" w:space="0" w:color="auto"/>
        <w:left w:val="none" w:sz="0" w:space="0" w:color="auto"/>
        <w:bottom w:val="none" w:sz="0" w:space="0" w:color="auto"/>
        <w:right w:val="none" w:sz="0" w:space="0" w:color="auto"/>
      </w:divBdr>
      <w:divsChild>
        <w:div w:id="1044644189">
          <w:marLeft w:val="0"/>
          <w:marRight w:val="0"/>
          <w:marTop w:val="0"/>
          <w:marBottom w:val="0"/>
          <w:divBdr>
            <w:top w:val="none" w:sz="0" w:space="0" w:color="auto"/>
            <w:left w:val="none" w:sz="0" w:space="0" w:color="auto"/>
            <w:bottom w:val="none" w:sz="0" w:space="0" w:color="auto"/>
            <w:right w:val="none" w:sz="0" w:space="0" w:color="auto"/>
          </w:divBdr>
          <w:divsChild>
            <w:div w:id="214388338">
              <w:marLeft w:val="0"/>
              <w:marRight w:val="0"/>
              <w:marTop w:val="0"/>
              <w:marBottom w:val="0"/>
              <w:divBdr>
                <w:top w:val="none" w:sz="0" w:space="0" w:color="auto"/>
                <w:left w:val="none" w:sz="0" w:space="0" w:color="auto"/>
                <w:bottom w:val="none" w:sz="0" w:space="0" w:color="auto"/>
                <w:right w:val="none" w:sz="0" w:space="0" w:color="auto"/>
              </w:divBdr>
            </w:div>
            <w:div w:id="2029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holar.google.com/scholar?oi=bibs&amp;hl=en&amp;cites=3167082950170402553"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customXml/itemProps2.xml><?xml version="1.0" encoding="utf-8"?>
<ds:datastoreItem xmlns:ds="http://schemas.openxmlformats.org/officeDocument/2006/customXml" ds:itemID="{2C8C25F3-1320-41DD-BDBD-A894904C2E83}">
  <ds:schemaRefs>
    <ds:schemaRef ds:uri="http://schemas.microsoft.com/sharepoint/v3/contenttype/forms"/>
  </ds:schemaRefs>
</ds:datastoreItem>
</file>

<file path=customXml/itemProps3.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Yang</dc:creator>
  <cp:keywords/>
  <dc:description/>
  <cp:lastModifiedBy>Hanifa Tidjani</cp:lastModifiedBy>
  <cp:revision>3</cp:revision>
  <dcterms:created xsi:type="dcterms:W3CDTF">2024-09-13T11:38:00Z</dcterms:created>
  <dcterms:modified xsi:type="dcterms:W3CDTF">2024-09-13T11:38:00Z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ies>
</file>