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0CA8B41E" w:rsidR="00A8352C" w:rsidRPr="00C77156" w:rsidRDefault="00A24629" w:rsidP="001E4F9A">
      <w:pPr>
        <w:pStyle w:val="Title"/>
      </w:pPr>
      <w:r>
        <w:t>A scalable platform for germanium spin qubits</w:t>
      </w:r>
    </w:p>
    <w:p w14:paraId="4393ABC7" w14:textId="43932FD3" w:rsidR="00C77156" w:rsidRPr="009C652C" w:rsidRDefault="007F5C94" w:rsidP="00D34025">
      <w:pPr>
        <w:pStyle w:val="Authorlist"/>
        <w:rPr>
          <w:lang w:val="nl-NL"/>
        </w:rPr>
      </w:pPr>
      <w:r w:rsidRPr="000E5086">
        <w:rPr>
          <w:lang w:val="nl-NL"/>
        </w:rPr>
        <w:t>David van Driel</w:t>
      </w:r>
      <w:r w:rsidR="00224950" w:rsidRPr="000E5086">
        <w:rPr>
          <w:rFonts w:hint="eastAsia"/>
          <w:vertAlign w:val="superscript"/>
          <w:lang w:val="nl-NL"/>
        </w:rPr>
        <w:t>1</w:t>
      </w:r>
      <w:r w:rsidR="00573209" w:rsidRPr="000E5086">
        <w:rPr>
          <w:rFonts w:hint="eastAsia"/>
          <w:vertAlign w:val="superscript"/>
          <w:lang w:val="nl-NL"/>
        </w:rPr>
        <w:t>,2</w:t>
      </w:r>
      <w:r w:rsidRPr="000E5086">
        <w:rPr>
          <w:lang w:val="nl-NL"/>
        </w:rPr>
        <w:t>, Daniël Bou</w:t>
      </w:r>
      <w:r w:rsidR="00D34025" w:rsidRPr="000E5086">
        <w:rPr>
          <w:lang w:val="nl-NL"/>
        </w:rPr>
        <w:t>man</w:t>
      </w:r>
      <w:r w:rsidRPr="000E5086">
        <w:rPr>
          <w:rFonts w:hint="eastAsia"/>
          <w:vertAlign w:val="superscript"/>
          <w:lang w:val="nl-NL"/>
        </w:rPr>
        <w:t>1,2</w:t>
      </w:r>
      <w:r w:rsidRPr="000E5086">
        <w:rPr>
          <w:lang w:val="nl-NL"/>
        </w:rPr>
        <w:t xml:space="preserve">, </w:t>
      </w:r>
      <w:proofErr w:type="spellStart"/>
      <w:r w:rsidR="00D34025" w:rsidRPr="000E5086">
        <w:rPr>
          <w:lang w:val="nl-NL"/>
        </w:rPr>
        <w:t>Achilleas</w:t>
      </w:r>
      <w:proofErr w:type="spellEnd"/>
      <w:r w:rsidR="00D34025" w:rsidRPr="000E5086">
        <w:rPr>
          <w:lang w:val="nl-NL"/>
        </w:rPr>
        <w:t xml:space="preserve"> Bardakas</w:t>
      </w:r>
      <w:r w:rsidR="00D34025" w:rsidRPr="000E5086">
        <w:rPr>
          <w:rFonts w:hint="eastAsia"/>
          <w:vertAlign w:val="superscript"/>
          <w:lang w:val="nl-NL"/>
        </w:rPr>
        <w:t>1,2</w:t>
      </w:r>
      <w:r w:rsidR="00D34025" w:rsidRPr="000E5086">
        <w:rPr>
          <w:lang w:val="nl-NL"/>
        </w:rPr>
        <w:t xml:space="preserve">, </w:t>
      </w:r>
      <w:proofErr w:type="spellStart"/>
      <w:r w:rsidR="00D34025" w:rsidRPr="000E5086">
        <w:rPr>
          <w:lang w:val="nl-NL"/>
        </w:rPr>
        <w:t>Davide</w:t>
      </w:r>
      <w:proofErr w:type="spellEnd"/>
      <w:r w:rsidR="00D34025" w:rsidRPr="000E5086">
        <w:rPr>
          <w:lang w:val="nl-NL"/>
        </w:rPr>
        <w:t xml:space="preserve"> Girardi</w:t>
      </w:r>
      <w:r w:rsidR="00D34025" w:rsidRPr="000E5086">
        <w:rPr>
          <w:rFonts w:hint="eastAsia"/>
          <w:vertAlign w:val="superscript"/>
          <w:lang w:val="nl-NL"/>
        </w:rPr>
        <w:t>1,2</w:t>
      </w:r>
      <w:r w:rsidR="00D34025" w:rsidRPr="000E5086">
        <w:rPr>
          <w:lang w:val="nl-NL"/>
        </w:rPr>
        <w:t>, Anne-Marije Zwerver</w:t>
      </w:r>
      <w:r w:rsidR="00D34025" w:rsidRPr="000E5086">
        <w:rPr>
          <w:rFonts w:hint="eastAsia"/>
          <w:vertAlign w:val="superscript"/>
          <w:lang w:val="nl-NL"/>
        </w:rPr>
        <w:t>1,2</w:t>
      </w:r>
      <w:r w:rsidR="009C652C">
        <w:rPr>
          <w:lang w:val="nl-NL"/>
        </w:rPr>
        <w:t xml:space="preserve">, </w:t>
      </w:r>
      <w:r w:rsidR="009C652C" w:rsidRPr="000E5086">
        <w:rPr>
          <w:lang w:val="nl-NL"/>
        </w:rPr>
        <w:t>Nico Hendrickx</w:t>
      </w:r>
      <w:r w:rsidR="009C652C" w:rsidRPr="000E5086">
        <w:rPr>
          <w:rFonts w:hint="eastAsia"/>
          <w:vertAlign w:val="superscript"/>
          <w:lang w:val="nl-NL"/>
        </w:rPr>
        <w:t>1,2</w:t>
      </w:r>
    </w:p>
    <w:p w14:paraId="32880C56" w14:textId="77777777" w:rsidR="002464F9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2464F9">
        <w:rPr>
          <w:iCs/>
          <w:vertAlign w:val="superscript"/>
        </w:rPr>
        <w:t xml:space="preserve"> </w:t>
      </w:r>
      <w:r w:rsidR="002464F9" w:rsidRPr="002464F9">
        <w:t>Delft University of Technology</w:t>
      </w:r>
    </w:p>
    <w:p w14:paraId="49373D7E" w14:textId="6A310A3E" w:rsidR="00480AB4" w:rsidRDefault="00224950" w:rsidP="002464F9">
      <w:pPr>
        <w:pStyle w:val="Affiliation"/>
      </w:pPr>
      <w:r>
        <w:rPr>
          <w:rFonts w:hint="eastAsia"/>
          <w:iCs/>
          <w:vertAlign w:val="superscript"/>
        </w:rPr>
        <w:t>2</w:t>
      </w:r>
      <w:r w:rsidR="002464F9">
        <w:rPr>
          <w:iCs/>
          <w:vertAlign w:val="superscript"/>
        </w:rPr>
        <w:t xml:space="preserve"> </w:t>
      </w:r>
      <w:r w:rsidR="002464F9">
        <w:t>Groove Quantum</w:t>
      </w:r>
    </w:p>
    <w:p w14:paraId="2FD4624C" w14:textId="77777777" w:rsidR="002464F9" w:rsidRDefault="002464F9" w:rsidP="002464F9">
      <w:pPr>
        <w:pStyle w:val="Affiliation"/>
      </w:pPr>
    </w:p>
    <w:p w14:paraId="4A49F195" w14:textId="4C639B2B" w:rsidR="00D702D2" w:rsidRDefault="004254E3" w:rsidP="00C40321">
      <w:pPr>
        <w:jc w:val="both"/>
      </w:pPr>
      <w:r>
        <w:t>B</w:t>
      </w:r>
      <w:r w:rsidR="00172973">
        <w:t xml:space="preserve">uilding a </w:t>
      </w:r>
      <w:r>
        <w:t xml:space="preserve">practical </w:t>
      </w:r>
      <w:r w:rsidR="00172973">
        <w:t>quantum computer</w:t>
      </w:r>
      <w:r>
        <w:t xml:space="preserve"> requires integrating many physical qubits</w:t>
      </w:r>
      <w:r w:rsidR="00172973">
        <w:t>. Spin qubits</w:t>
      </w:r>
      <w:r w:rsidR="00A70111">
        <w:t xml:space="preserve"> </w:t>
      </w:r>
      <w:r w:rsidR="007A411B">
        <w:t xml:space="preserve">in semiconductor quantum dots </w:t>
      </w:r>
      <w:r w:rsidR="00172973">
        <w:t xml:space="preserve">are a </w:t>
      </w:r>
      <w:r>
        <w:t xml:space="preserve">strong </w:t>
      </w:r>
      <w:r w:rsidR="007A411B">
        <w:t xml:space="preserve">qubit </w:t>
      </w:r>
      <w:r>
        <w:t>candidate,</w:t>
      </w:r>
      <w:r w:rsidR="006333CF">
        <w:t xml:space="preserve"> </w:t>
      </w:r>
      <w:r w:rsidR="00172973">
        <w:t>as they are inherently very small</w:t>
      </w:r>
      <w:r w:rsidR="006333CF">
        <w:t xml:space="preserve"> and can be integrated onto a chip</w:t>
      </w:r>
      <w:r w:rsidR="00172973">
        <w:t xml:space="preserve">. </w:t>
      </w:r>
      <w:r w:rsidR="00A70111">
        <w:t>Moreover, they</w:t>
      </w:r>
      <w:r w:rsidR="00172973">
        <w:t xml:space="preserve"> are </w:t>
      </w:r>
      <w:r>
        <w:t xml:space="preserve">particularly </w:t>
      </w:r>
      <w:r w:rsidR="00172973">
        <w:t xml:space="preserve">promising, as </w:t>
      </w:r>
      <w:r>
        <w:t>they are</w:t>
      </w:r>
      <w:r w:rsidR="00172973">
        <w:t xml:space="preserve"> compatible with</w:t>
      </w:r>
      <w:r>
        <w:t xml:space="preserve"> </w:t>
      </w:r>
      <w:r w:rsidR="00172973">
        <w:t xml:space="preserve">classical semiconductor </w:t>
      </w:r>
      <w:r w:rsidR="007A411B">
        <w:t>manufacturing</w:t>
      </w:r>
      <w:r>
        <w:t xml:space="preserve"> processes</w:t>
      </w:r>
      <w:r w:rsidR="00172973">
        <w:t xml:space="preserve">. </w:t>
      </w:r>
      <w:r>
        <w:t>However, s</w:t>
      </w:r>
      <w:r w:rsidR="00EB549C">
        <w:t xml:space="preserve">caling the number of spin qubits </w:t>
      </w:r>
      <w:r w:rsidR="006333CF">
        <w:t xml:space="preserve">while maintaining connectivity requires </w:t>
      </w:r>
      <w:r>
        <w:t>defining extensive two-dimensional</w:t>
      </w:r>
      <w:r w:rsidR="00EB549C">
        <w:t xml:space="preserve"> </w:t>
      </w:r>
      <w:r>
        <w:t xml:space="preserve">qubit </w:t>
      </w:r>
      <w:r w:rsidR="00EB549C">
        <w:t>arrays</w:t>
      </w:r>
      <w:r w:rsidR="00CF7EA9">
        <w:t xml:space="preserve"> </w:t>
      </w:r>
      <w:r w:rsidR="00A70111">
        <w:t xml:space="preserve">and a high device yield </w:t>
      </w:r>
      <w:r w:rsidR="00CF7EA9">
        <w:t>[1]</w:t>
      </w:r>
      <w:r w:rsidR="00EB549C">
        <w:t xml:space="preserve">. </w:t>
      </w:r>
      <w:r w:rsidR="006333CF">
        <w:t>Strained germanium quantum wells</w:t>
      </w:r>
      <w:r w:rsidR="00D702D2">
        <w:t xml:space="preserve"> </w:t>
      </w:r>
      <w:r>
        <w:t>define an excellent materials platform for this, due to the relaxed lithographical constraints, efficient control mechanisms, and well-defined qubit states</w:t>
      </w:r>
      <w:r w:rsidR="00CF7EA9">
        <w:t xml:space="preserve"> [2]</w:t>
      </w:r>
      <w:r>
        <w:t>. R</w:t>
      </w:r>
      <w:r w:rsidR="006333CF">
        <w:t>ecently</w:t>
      </w:r>
      <w:r>
        <w:t>, germanium quantum processors</w:t>
      </w:r>
      <w:r w:rsidR="006333CF">
        <w:t xml:space="preserve"> scaled up to host 10 quantum dots in a 3-4-3 configuration [</w:t>
      </w:r>
      <w:r w:rsidR="00CF7EA9">
        <w:t>3</w:t>
      </w:r>
      <w:r w:rsidR="006333CF">
        <w:t xml:space="preserve">]. </w:t>
      </w:r>
      <w:r>
        <w:t>Furthermore, s</w:t>
      </w:r>
      <w:r w:rsidR="00D702D2">
        <w:t>pin qubits defined in germanium quantum wells</w:t>
      </w:r>
      <w:r w:rsidR="006333CF">
        <w:t xml:space="preserve"> have demonstrated fast two-qubit logic</w:t>
      </w:r>
      <w:r w:rsidR="0091075A">
        <w:t xml:space="preserve"> [</w:t>
      </w:r>
      <w:r w:rsidR="00CF7EA9">
        <w:t>4</w:t>
      </w:r>
      <w:r w:rsidR="0091075A">
        <w:t>]</w:t>
      </w:r>
      <w:r w:rsidR="006333CF">
        <w:t>, as well as high</w:t>
      </w:r>
      <w:r w:rsidR="00D702D2">
        <w:t xml:space="preserve">-fidelity single- and two-qubit </w:t>
      </w:r>
      <w:r>
        <w:t xml:space="preserve">control </w:t>
      </w:r>
      <w:r w:rsidR="0091075A">
        <w:t>[</w:t>
      </w:r>
      <w:r w:rsidR="00CF7EA9">
        <w:t>3</w:t>
      </w:r>
      <w:r w:rsidR="0091075A">
        <w:t>]</w:t>
      </w:r>
      <w:r w:rsidR="00D702D2">
        <w:t xml:space="preserve">. </w:t>
      </w:r>
      <w:r w:rsidR="007A411B">
        <w:t>Additionally, t</w:t>
      </w:r>
      <w:r w:rsidR="00D702D2">
        <w:t>hey do not require on-chip magnets, and single-qubit gates can be performed using baseband control signals</w:t>
      </w:r>
      <w:r w:rsidR="0091075A">
        <w:t xml:space="preserve"> [</w:t>
      </w:r>
      <w:r w:rsidR="00CF7EA9">
        <w:t>3</w:t>
      </w:r>
      <w:r w:rsidR="0091075A">
        <w:t>]</w:t>
      </w:r>
      <w:r w:rsidR="00D702D2">
        <w:t>.</w:t>
      </w:r>
    </w:p>
    <w:p w14:paraId="43B76EC7" w14:textId="245BF3F6" w:rsidR="001C408B" w:rsidRDefault="00D702D2" w:rsidP="00C40321">
      <w:pPr>
        <w:jc w:val="both"/>
      </w:pPr>
      <w:r>
        <w:t xml:space="preserve">In this </w:t>
      </w:r>
      <w:r w:rsidR="001C408B">
        <w:t>poster</w:t>
      </w:r>
      <w:r>
        <w:t xml:space="preserve">, we </w:t>
      </w:r>
      <w:r w:rsidR="001C408B">
        <w:t xml:space="preserve">detail </w:t>
      </w:r>
      <w:commentRangeStart w:id="0"/>
      <w:r w:rsidR="007A411B">
        <w:t>developments</w:t>
      </w:r>
      <w:commentRangeEnd w:id="0"/>
      <w:r w:rsidR="007A411B">
        <w:rPr>
          <w:rStyle w:val="CommentReference"/>
        </w:rPr>
        <w:commentReference w:id="0"/>
      </w:r>
      <w:r w:rsidR="007A411B">
        <w:t xml:space="preserve"> </w:t>
      </w:r>
      <w:r w:rsidR="009E3DEE">
        <w:t>of</w:t>
      </w:r>
      <w:r w:rsidR="001C408B">
        <w:t xml:space="preserve"> scaling the number of spin qubits in strained germanium quantum wells. Using advanced design techniques, we can scale up our </w:t>
      </w:r>
      <w:r w:rsidR="004254E3">
        <w:t xml:space="preserve">extensible </w:t>
      </w:r>
      <w:r w:rsidR="000C0ED4">
        <w:t xml:space="preserve">device </w:t>
      </w:r>
      <w:r w:rsidR="001C408B">
        <w:t>designs to accommodate</w:t>
      </w:r>
      <w:r w:rsidR="001F518C">
        <w:t xml:space="preserve">, starting from six </w:t>
      </w:r>
      <w:r w:rsidR="00A70111">
        <w:t xml:space="preserve">up </w:t>
      </w:r>
      <w:r w:rsidR="001F518C">
        <w:t>to</w:t>
      </w:r>
      <w:r w:rsidR="001C408B">
        <w:t xml:space="preserve"> </w:t>
      </w:r>
      <w:r w:rsidR="004254E3">
        <w:t>large numbers</w:t>
      </w:r>
      <w:r w:rsidR="001C408B">
        <w:t xml:space="preserve"> of quantum dots. </w:t>
      </w:r>
      <w:proofErr w:type="gramStart"/>
      <w:r w:rsidR="001C408B">
        <w:t>In particular, we</w:t>
      </w:r>
      <w:proofErr w:type="gramEnd"/>
      <w:r w:rsidR="001C408B">
        <w:t xml:space="preserve"> </w:t>
      </w:r>
      <w:r w:rsidR="004254E3">
        <w:t xml:space="preserve">show </w:t>
      </w:r>
      <w:r w:rsidR="001F518C">
        <w:t>advances</w:t>
      </w:r>
      <w:r w:rsidR="004254E3">
        <w:t xml:space="preserve"> in the </w:t>
      </w:r>
      <w:r w:rsidR="001C408B">
        <w:t>fabricat</w:t>
      </w:r>
      <w:r w:rsidR="004254E3">
        <w:t>ion,</w:t>
      </w:r>
      <w:r w:rsidR="001C408B">
        <w:t xml:space="preserve"> characteris</w:t>
      </w:r>
      <w:r w:rsidR="004254E3">
        <w:t>ation, and operation of</w:t>
      </w:r>
      <w:r w:rsidR="001C408B">
        <w:t xml:space="preserve"> </w:t>
      </w:r>
      <w:r w:rsidR="004254E3">
        <w:t>our</w:t>
      </w:r>
      <w:r w:rsidR="001C408B">
        <w:t xml:space="preserve"> </w:t>
      </w:r>
      <w:r w:rsidR="004254E3">
        <w:t>multi</w:t>
      </w:r>
      <w:r w:rsidR="001B58CB">
        <w:t>-qubit</w:t>
      </w:r>
      <w:r w:rsidR="001C408B">
        <w:t xml:space="preserve"> </w:t>
      </w:r>
      <w:r w:rsidR="004254E3">
        <w:t>processors</w:t>
      </w:r>
      <w:r w:rsidR="001F518C">
        <w:t>, allowing us to increase the device robustness and yield</w:t>
      </w:r>
      <w:r w:rsidR="004254E3">
        <w:t>.</w:t>
      </w:r>
    </w:p>
    <w:p w14:paraId="756D4584" w14:textId="77777777" w:rsidR="001C408B" w:rsidRDefault="001C408B" w:rsidP="007553E8">
      <w:pPr>
        <w:pStyle w:val="Reference"/>
      </w:pPr>
    </w:p>
    <w:p w14:paraId="348F314E" w14:textId="0C905B6B" w:rsidR="00C40321" w:rsidRDefault="006333CF" w:rsidP="007553E8">
      <w:pPr>
        <w:pStyle w:val="Reference"/>
      </w:pPr>
      <w:r w:rsidRPr="00C40321">
        <w:t xml:space="preserve">[1] </w:t>
      </w:r>
      <w:proofErr w:type="spellStart"/>
      <w:r w:rsidR="00C40321" w:rsidRPr="00EF48E6">
        <w:t>Scappucci</w:t>
      </w:r>
      <w:proofErr w:type="spellEnd"/>
      <w:r w:rsidR="00C40321" w:rsidRPr="00EF48E6">
        <w:t xml:space="preserve">, </w:t>
      </w:r>
      <w:r w:rsidR="003760C4">
        <w:t>G.</w:t>
      </w:r>
      <w:r w:rsidR="00C40321" w:rsidRPr="00EF48E6">
        <w:t>, et al.</w:t>
      </w:r>
      <w:r w:rsidR="00C40321">
        <w:t xml:space="preserve">, </w:t>
      </w:r>
      <w:r w:rsidR="00C40321" w:rsidRPr="00C40321">
        <w:rPr>
          <w:i/>
          <w:iCs/>
        </w:rPr>
        <w:t>Nature Reviews Materials</w:t>
      </w:r>
      <w:r w:rsidR="00C40321" w:rsidRPr="00C40321">
        <w:t> 6.10 (2021): 926-943.</w:t>
      </w:r>
      <w:r w:rsidR="00C40321" w:rsidRPr="00C40321" w:rsidDel="00C40321">
        <w:t xml:space="preserve"> </w:t>
      </w:r>
    </w:p>
    <w:p w14:paraId="39AFA38B" w14:textId="6AE30BB8" w:rsidR="00CF7EA9" w:rsidRPr="00C40321" w:rsidRDefault="00CF7EA9" w:rsidP="007553E8">
      <w:pPr>
        <w:pStyle w:val="Reference"/>
        <w:rPr>
          <w:lang w:val="en-US"/>
        </w:rPr>
      </w:pPr>
      <w:r>
        <w:t xml:space="preserve">[2] </w:t>
      </w:r>
      <w:r w:rsidR="007A411B" w:rsidRPr="007A411B">
        <w:t xml:space="preserve">Borsoi, F. et al., </w:t>
      </w:r>
      <w:r w:rsidR="007A411B" w:rsidRPr="00C40321">
        <w:rPr>
          <w:i/>
          <w:iCs/>
        </w:rPr>
        <w:t>Nat. Nanotech.</w:t>
      </w:r>
      <w:r w:rsidR="007A411B" w:rsidRPr="007A411B">
        <w:t xml:space="preserve"> 19, 21–27 (2024)</w:t>
      </w:r>
    </w:p>
    <w:p w14:paraId="7478F511" w14:textId="6065A81E" w:rsidR="00CF7EA9" w:rsidRPr="00C40321" w:rsidRDefault="006333CF" w:rsidP="007553E8">
      <w:pPr>
        <w:pStyle w:val="Reference"/>
        <w:rPr>
          <w:lang w:val="en-US"/>
        </w:rPr>
      </w:pPr>
      <w:r w:rsidRPr="00C40321">
        <w:rPr>
          <w:lang w:val="en-US"/>
        </w:rPr>
        <w:t>[</w:t>
      </w:r>
      <w:r w:rsidR="00CF7EA9">
        <w:rPr>
          <w:lang w:val="en-US"/>
        </w:rPr>
        <w:t>3</w:t>
      </w:r>
      <w:r w:rsidRPr="00C40321">
        <w:rPr>
          <w:lang w:val="en-US"/>
        </w:rPr>
        <w:t xml:space="preserve">] </w:t>
      </w:r>
      <w:r w:rsidR="007A411B" w:rsidRPr="007A411B">
        <w:t>Wang, C-A et al.</w:t>
      </w:r>
      <w:r w:rsidR="007A411B">
        <w:t xml:space="preserve">, </w:t>
      </w:r>
      <w:r w:rsidR="007A411B" w:rsidRPr="00C40321">
        <w:rPr>
          <w:i/>
          <w:iCs/>
        </w:rPr>
        <w:t>Science</w:t>
      </w:r>
      <w:r w:rsidR="007A411B">
        <w:t xml:space="preserve"> 385, 6707, </w:t>
      </w:r>
      <w:r w:rsidR="00C40321">
        <w:rPr>
          <w:lang w:val="en-US"/>
        </w:rPr>
        <w:t>(</w:t>
      </w:r>
      <w:r w:rsidR="007A411B">
        <w:t>2024</w:t>
      </w:r>
      <w:r w:rsidR="00C40321">
        <w:rPr>
          <w:lang w:val="en-US"/>
        </w:rPr>
        <w:t>)</w:t>
      </w:r>
    </w:p>
    <w:p w14:paraId="145DB770" w14:textId="5310605D" w:rsidR="00CF7EA9" w:rsidRPr="00C40321" w:rsidRDefault="00A322E1" w:rsidP="00CF7EA9">
      <w:pPr>
        <w:pStyle w:val="Reference"/>
        <w:rPr>
          <w:lang w:val="en-US"/>
        </w:rPr>
      </w:pPr>
      <w:r w:rsidRPr="00C40321">
        <w:rPr>
          <w:lang w:val="nl-NL"/>
        </w:rPr>
        <w:t>[</w:t>
      </w:r>
      <w:r w:rsidR="00CF7EA9" w:rsidRPr="00C40321">
        <w:rPr>
          <w:lang w:val="nl-NL"/>
        </w:rPr>
        <w:t>4</w:t>
      </w:r>
      <w:r w:rsidRPr="00C40321">
        <w:rPr>
          <w:lang w:val="nl-NL"/>
        </w:rPr>
        <w:t xml:space="preserve">] </w:t>
      </w:r>
      <w:r w:rsidR="007A411B" w:rsidRPr="007A411B">
        <w:t xml:space="preserve">Hendrickx, N.W. et al., </w:t>
      </w:r>
      <w:r w:rsidR="007A411B" w:rsidRPr="00C40321">
        <w:rPr>
          <w:i/>
          <w:iCs/>
        </w:rPr>
        <w:t>Nature</w:t>
      </w:r>
      <w:r w:rsidR="007A411B" w:rsidRPr="007A411B">
        <w:t xml:space="preserve"> 577, 487-491 (2020)</w:t>
      </w:r>
    </w:p>
    <w:p w14:paraId="169C3788" w14:textId="5C0734DF" w:rsidR="0091075A" w:rsidRDefault="0091075A" w:rsidP="00EB549C">
      <w:pPr>
        <w:pStyle w:val="Reference"/>
      </w:pPr>
    </w:p>
    <w:p w14:paraId="775CDCD8" w14:textId="77777777" w:rsidR="000C0ED4" w:rsidRDefault="000C0ED4" w:rsidP="00EB549C">
      <w:pPr>
        <w:pStyle w:val="Reference"/>
      </w:pPr>
    </w:p>
    <w:p w14:paraId="22464A83" w14:textId="77777777" w:rsidR="000C0ED4" w:rsidRDefault="000C0ED4" w:rsidP="00EB549C">
      <w:pPr>
        <w:pStyle w:val="Reference"/>
      </w:pPr>
    </w:p>
    <w:p w14:paraId="7431684F" w14:textId="04483788" w:rsidR="000C0ED4" w:rsidRPr="00C77156" w:rsidRDefault="000C0ED4" w:rsidP="00EB549C">
      <w:pPr>
        <w:pStyle w:val="Reference"/>
      </w:pPr>
    </w:p>
    <w:sectPr w:rsidR="000C0ED4" w:rsidRPr="00C77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nne-Marije Zwerver" w:date="2024-09-12T20:00:00Z" w:initials="AMZ">
    <w:p w14:paraId="63B1660B" w14:textId="77777777" w:rsidR="007A411B" w:rsidRDefault="007A411B" w:rsidP="007A411B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Mag ook een ander woord, maar er stond twee keer advance(s) in twee regels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B166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DD897C" w16cex:dateUtc="2024-09-12T18:00:00Z">
    <w16cex:extLst>
      <w16:ext w16:uri="{CE6994B0-6A32-4C9F-8C6B-6E91EDA988CE}">
        <cr:reactions xmlns:cr="http://schemas.microsoft.com/office/comments/2020/reactions">
          <cr:reaction reactionType="1">
            <cr:reactionInfo dateUtc="2024-09-13T07:19:43Z">
              <cr:user userId="S::ddriel@tudelft.nl::51e6f72a-8c76-4456-a041-eca7f4d89981" userProvider="AD" userName="David van Drie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1660B" w16cid:durableId="48DD8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A59E0" w14:textId="77777777" w:rsidR="007E6E4C" w:rsidRDefault="007E6E4C" w:rsidP="00CE15CF">
      <w:pPr>
        <w:spacing w:after="0" w:line="240" w:lineRule="auto"/>
      </w:pPr>
      <w:r>
        <w:separator/>
      </w:r>
    </w:p>
  </w:endnote>
  <w:endnote w:type="continuationSeparator" w:id="0">
    <w:p w14:paraId="1A76BD08" w14:textId="77777777" w:rsidR="007E6E4C" w:rsidRDefault="007E6E4C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0249" w14:textId="77777777" w:rsidR="007E6E4C" w:rsidRDefault="007E6E4C" w:rsidP="00CE15CF">
      <w:pPr>
        <w:spacing w:after="0" w:line="240" w:lineRule="auto"/>
      </w:pPr>
      <w:r>
        <w:separator/>
      </w:r>
    </w:p>
  </w:footnote>
  <w:footnote w:type="continuationSeparator" w:id="0">
    <w:p w14:paraId="0AE01E19" w14:textId="77777777" w:rsidR="007E6E4C" w:rsidRDefault="007E6E4C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ne-Marije Zwerver">
    <w15:presenceInfo w15:providerId="AD" w15:userId="S::amjzwerver@tudelft.nl::3a33d748-b052-4163-85bf-8e6df13892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4271"/>
    <w:rsid w:val="00062E4E"/>
    <w:rsid w:val="0008097D"/>
    <w:rsid w:val="000C0ED4"/>
    <w:rsid w:val="000C7539"/>
    <w:rsid w:val="000E5086"/>
    <w:rsid w:val="00172973"/>
    <w:rsid w:val="00192CFE"/>
    <w:rsid w:val="00196367"/>
    <w:rsid w:val="001B58CB"/>
    <w:rsid w:val="001C408B"/>
    <w:rsid w:val="001E4F9A"/>
    <w:rsid w:val="001F518C"/>
    <w:rsid w:val="00224950"/>
    <w:rsid w:val="002464F9"/>
    <w:rsid w:val="002B46D4"/>
    <w:rsid w:val="00310969"/>
    <w:rsid w:val="0033473B"/>
    <w:rsid w:val="003432F1"/>
    <w:rsid w:val="00354FC6"/>
    <w:rsid w:val="003760C4"/>
    <w:rsid w:val="003B5A75"/>
    <w:rsid w:val="004254E3"/>
    <w:rsid w:val="00480AB4"/>
    <w:rsid w:val="004C18D2"/>
    <w:rsid w:val="00514895"/>
    <w:rsid w:val="00573209"/>
    <w:rsid w:val="005E012D"/>
    <w:rsid w:val="006333CF"/>
    <w:rsid w:val="0069213C"/>
    <w:rsid w:val="00694951"/>
    <w:rsid w:val="006D6C31"/>
    <w:rsid w:val="00751E64"/>
    <w:rsid w:val="007553E8"/>
    <w:rsid w:val="007A411B"/>
    <w:rsid w:val="007B47C9"/>
    <w:rsid w:val="007E3113"/>
    <w:rsid w:val="007E6E4C"/>
    <w:rsid w:val="007F5C94"/>
    <w:rsid w:val="008070E8"/>
    <w:rsid w:val="00844574"/>
    <w:rsid w:val="00885484"/>
    <w:rsid w:val="0091075A"/>
    <w:rsid w:val="00911C3C"/>
    <w:rsid w:val="009C652C"/>
    <w:rsid w:val="009E3DEE"/>
    <w:rsid w:val="00A00D9F"/>
    <w:rsid w:val="00A24629"/>
    <w:rsid w:val="00A322E1"/>
    <w:rsid w:val="00A50716"/>
    <w:rsid w:val="00A70111"/>
    <w:rsid w:val="00A70BDF"/>
    <w:rsid w:val="00A8352C"/>
    <w:rsid w:val="00AB6771"/>
    <w:rsid w:val="00AE30CA"/>
    <w:rsid w:val="00AE43D2"/>
    <w:rsid w:val="00B24FDF"/>
    <w:rsid w:val="00B5783F"/>
    <w:rsid w:val="00B82748"/>
    <w:rsid w:val="00BA4C5D"/>
    <w:rsid w:val="00BE5E64"/>
    <w:rsid w:val="00C06AC6"/>
    <w:rsid w:val="00C40321"/>
    <w:rsid w:val="00C77156"/>
    <w:rsid w:val="00CE11C9"/>
    <w:rsid w:val="00CE15CF"/>
    <w:rsid w:val="00CF7EA9"/>
    <w:rsid w:val="00D34025"/>
    <w:rsid w:val="00D702D2"/>
    <w:rsid w:val="00DA1C0C"/>
    <w:rsid w:val="00EA0133"/>
    <w:rsid w:val="00EB549C"/>
    <w:rsid w:val="00ED52FE"/>
    <w:rsid w:val="00EE472A"/>
    <w:rsid w:val="00F30FBB"/>
    <w:rsid w:val="00F72151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paragraph" w:styleId="Revision">
    <w:name w:val="Revision"/>
    <w:hidden/>
    <w:uiPriority w:val="99"/>
    <w:semiHidden/>
    <w:rsid w:val="000E5086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A411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11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11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David van Driel</cp:lastModifiedBy>
  <cp:revision>4</cp:revision>
  <dcterms:created xsi:type="dcterms:W3CDTF">2024-09-13T07:19:00Z</dcterms:created>
  <dcterms:modified xsi:type="dcterms:W3CDTF">2024-09-13T07:32:00Z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